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9D" w:rsidRPr="00D1059D" w:rsidRDefault="00D1059D" w:rsidP="00D1059D">
      <w:pPr>
        <w:tabs>
          <w:tab w:val="center" w:pos="3422"/>
          <w:tab w:val="center" w:pos="8864"/>
        </w:tabs>
        <w:spacing w:after="10" w:line="259" w:lineRule="auto"/>
        <w:ind w:left="0" w:right="0" w:firstLine="0"/>
        <w:jc w:val="center"/>
        <w:rPr>
          <w:b/>
        </w:rPr>
      </w:pPr>
      <w:bookmarkStart w:id="0" w:name="_GoBack"/>
      <w:bookmarkEnd w:id="0"/>
    </w:p>
    <w:p w:rsidR="009A3C1A" w:rsidRDefault="008D2481" w:rsidP="00F8576F">
      <w:pPr>
        <w:spacing w:after="522" w:line="265" w:lineRule="auto"/>
        <w:ind w:right="0"/>
        <w:jc w:val="center"/>
      </w:pPr>
      <w:r>
        <w:rPr>
          <w:b/>
        </w:rPr>
        <w:t>OSMANİYE KORKUT ATA ÜNİVERSİTESİ FİKRİ VE SINAİ MÜLKİYET HAKLARI YÖNERGESİ</w:t>
      </w:r>
    </w:p>
    <w:p w:rsidR="009A3C1A" w:rsidRDefault="008D2481" w:rsidP="00F8576F">
      <w:pPr>
        <w:spacing w:after="108" w:line="265" w:lineRule="auto"/>
        <w:ind w:left="10" w:right="586"/>
        <w:jc w:val="center"/>
      </w:pPr>
      <w:r>
        <w:rPr>
          <w:b/>
        </w:rPr>
        <w:t>BİRİNCİ BÖLÜM</w:t>
      </w:r>
    </w:p>
    <w:p w:rsidR="009A3C1A" w:rsidRDefault="008D2481" w:rsidP="00F8576F">
      <w:pPr>
        <w:spacing w:after="522" w:line="265" w:lineRule="auto"/>
        <w:ind w:left="2065" w:right="0"/>
      </w:pPr>
      <w:r>
        <w:rPr>
          <w:b/>
        </w:rPr>
        <w:t>Amaç ve Kapsam, Dayanak, Tanımlar ve Yükümlülükler</w:t>
      </w:r>
    </w:p>
    <w:p w:rsidR="009A3C1A" w:rsidRDefault="008D2481">
      <w:pPr>
        <w:pStyle w:val="Balk2"/>
        <w:ind w:left="1438"/>
      </w:pPr>
      <w:r>
        <w:t>Amaç ve Kapsam</w:t>
      </w:r>
    </w:p>
    <w:p w:rsidR="009A3C1A" w:rsidRDefault="008D2481">
      <w:pPr>
        <w:spacing w:after="414"/>
        <w:ind w:left="1438" w:right="1588"/>
      </w:pPr>
      <w:r>
        <w:rPr>
          <w:b/>
        </w:rPr>
        <w:t xml:space="preserve">Madde 1 </w:t>
      </w:r>
      <w:r>
        <w:t>–</w:t>
      </w:r>
      <w:r>
        <w:rPr>
          <w:b/>
        </w:rPr>
        <w:t xml:space="preserve"> </w:t>
      </w:r>
      <w:r>
        <w:t xml:space="preserve">Bu yönergenin amacı; Osmaniye Korkut Ata Üniversitesi bünyesindeki araştırmacıların fikri ve sınai mülkiyet haklarının edinilmesi, korunması, paylaşılması, lisanslanması ve ticarileştirilmesi konularındaki usul ve esaslarını düzenlemektir. </w:t>
      </w:r>
    </w:p>
    <w:p w:rsidR="009A3C1A" w:rsidRDefault="008D2481">
      <w:pPr>
        <w:spacing w:after="414"/>
        <w:ind w:left="1438" w:right="1588"/>
      </w:pPr>
      <w:r>
        <w:t xml:space="preserve">Bu yönerge, Osmaniye Korkut Ata Üniversitesi ile buluş bildirimi yapan Osmaniye Korkut Ata Üniversitesi araştırmacılarının karşılıklı yükümlülük, hak ve sorumluluklarını ve Üniversite ile bağlı birimlerde araştırmacıların bilimsel çalışmalarından doğacak her türlü yazılım, eser, proje, faydalı model, marka, tasarım ve patent gibi fikri ve sınai mülkiyet haklarını kapsamaktadır. </w:t>
      </w:r>
    </w:p>
    <w:p w:rsidR="009A3C1A" w:rsidRDefault="008D2481">
      <w:pPr>
        <w:pStyle w:val="Balk2"/>
        <w:ind w:left="1438"/>
      </w:pPr>
      <w:r>
        <w:t xml:space="preserve">Dayanak </w:t>
      </w:r>
    </w:p>
    <w:p w:rsidR="009A3C1A" w:rsidRDefault="008D2481">
      <w:pPr>
        <w:ind w:left="1438" w:right="1588"/>
      </w:pPr>
      <w:proofErr w:type="gramStart"/>
      <w:r>
        <w:rPr>
          <w:b/>
        </w:rPr>
        <w:t xml:space="preserve">Madde 2 </w:t>
      </w:r>
      <w:r>
        <w:t xml:space="preserve">– Bu yönerge; 6/11/1981 tarihli Resmî </w:t>
      </w:r>
      <w:proofErr w:type="spellStart"/>
      <w:r>
        <w:t>Gazete’de</w:t>
      </w:r>
      <w:proofErr w:type="spellEnd"/>
      <w:r>
        <w:t xml:space="preserve"> yayımlanan 2547 sayılı Yükseköğretim Kanununa, 10/1/2017 tarihli Resmî </w:t>
      </w:r>
      <w:proofErr w:type="spellStart"/>
      <w:r>
        <w:t>Gazete’de</w:t>
      </w:r>
      <w:proofErr w:type="spellEnd"/>
      <w:r>
        <w:t xml:space="preserve"> yayımlanan 6769 sayılı Sınai Mülkiyet Kanunun 113 ilâ 124 üncü maddelerine ve 24/4/2017 tarihli ve 30047 sayılı Resmî </w:t>
      </w:r>
      <w:proofErr w:type="spellStart"/>
      <w:r>
        <w:t>Gazete’de</w:t>
      </w:r>
      <w:proofErr w:type="spellEnd"/>
      <w:r>
        <w:t xml:space="preserve"> yayımlanan Sınai Mülkiyet Kanununun Uygulanmasına Dair Yönetmeliğe, 29/09/2017 tarihli ve </w:t>
      </w:r>
      <w:proofErr w:type="gramEnd"/>
    </w:p>
    <w:p w:rsidR="009A3C1A" w:rsidRDefault="008D2481">
      <w:pPr>
        <w:spacing w:after="414"/>
        <w:ind w:left="1438" w:right="1588"/>
      </w:pPr>
      <w:r>
        <w:t xml:space="preserve">30195 sayılı Resmi </w:t>
      </w:r>
      <w:proofErr w:type="spellStart"/>
      <w:r>
        <w:t>Gazete’de</w:t>
      </w:r>
      <w:proofErr w:type="spellEnd"/>
      <w:r>
        <w:t xml:space="preserve"> yayımlanan Çalışan Buluşlarına, Yükseköğretim Kurumlarında Gerçekleştirilen Buluşlara ve Kamu Destekli Projelerde Ortaya Çıkan Buluşlara Dair Yönetmeliğe dayanılarak hazırlanmıştır.  </w:t>
      </w:r>
    </w:p>
    <w:p w:rsidR="009A3C1A" w:rsidRDefault="008D2481">
      <w:pPr>
        <w:pStyle w:val="Balk2"/>
        <w:ind w:left="1438"/>
      </w:pPr>
      <w:r>
        <w:t>Tanımlar</w:t>
      </w:r>
    </w:p>
    <w:p w:rsidR="009A3C1A" w:rsidRDefault="008D2481">
      <w:pPr>
        <w:spacing w:after="114" w:line="259" w:lineRule="auto"/>
        <w:ind w:left="1438" w:right="1588"/>
      </w:pPr>
      <w:r>
        <w:rPr>
          <w:b/>
        </w:rPr>
        <w:t xml:space="preserve">Madde 3 </w:t>
      </w:r>
      <w:r>
        <w:t xml:space="preserve">– Bu yönergede geçen; </w:t>
      </w:r>
    </w:p>
    <w:p w:rsidR="009A3C1A" w:rsidRDefault="008D2481">
      <w:pPr>
        <w:numPr>
          <w:ilvl w:val="0"/>
          <w:numId w:val="1"/>
        </w:numPr>
        <w:ind w:right="1588" w:hanging="260"/>
      </w:pPr>
      <w:r>
        <w:t>Araştırmacılar: Osmaniye Korkut Ata Üniversitesi öğretim</w:t>
      </w:r>
      <w:r w:rsidR="00F8576F">
        <w:t xml:space="preserve"> </w:t>
      </w:r>
      <w:r>
        <w:t xml:space="preserve">elemanlarını, idari personelini, öğrencilerini ve ortak proje ile araştırmalarda görev alanları, </w:t>
      </w:r>
    </w:p>
    <w:p w:rsidR="00D1059D" w:rsidRDefault="008D2481">
      <w:pPr>
        <w:numPr>
          <w:ilvl w:val="0"/>
          <w:numId w:val="1"/>
        </w:numPr>
        <w:ind w:right="1588" w:hanging="260"/>
      </w:pPr>
      <w:r>
        <w:t xml:space="preserve">Buluş: Üniversite ile bağlı birimlerde araştırmacıların bilimsel çalışmalarından doğacak her türlü yazılım, eser, proje, faydalı model, marka, tasarım, patent ile yeni bir cihaz, ürün ve yöntemleri, </w:t>
      </w:r>
    </w:p>
    <w:p w:rsidR="00D1059D" w:rsidRPr="00D1059D" w:rsidRDefault="00D1059D" w:rsidP="00D1059D"/>
    <w:p w:rsidR="009A3C1A" w:rsidRPr="00D1059D" w:rsidRDefault="009A3C1A" w:rsidP="00D1059D">
      <w:pPr>
        <w:jc w:val="center"/>
      </w:pPr>
    </w:p>
    <w:p w:rsidR="009A3C1A" w:rsidRDefault="008D2481">
      <w:pPr>
        <w:numPr>
          <w:ilvl w:val="0"/>
          <w:numId w:val="1"/>
        </w:numPr>
        <w:ind w:right="1588" w:hanging="260"/>
      </w:pPr>
      <w:r>
        <w:lastRenderedPageBreak/>
        <w:t>Buluş Bildirim Formu (BBF): Buluş ve buluş sahibine dair bilgilerin bulunduğu, fikri ve sınai mülkiyet hakları başvuru sürecini başlatan EK-1’de verilen belgeyi,</w:t>
      </w:r>
    </w:p>
    <w:p w:rsidR="009A3C1A" w:rsidRDefault="008D2481">
      <w:pPr>
        <w:spacing w:after="114" w:line="259" w:lineRule="auto"/>
        <w:ind w:left="1438" w:right="1588"/>
      </w:pPr>
      <w:r>
        <w:t>ç) Buluş Sahibi/Buluşçu: Buluşu yapan kişi veya kişiler,</w:t>
      </w:r>
    </w:p>
    <w:p w:rsidR="009A3C1A" w:rsidRDefault="008D2481">
      <w:pPr>
        <w:numPr>
          <w:ilvl w:val="0"/>
          <w:numId w:val="1"/>
        </w:numPr>
        <w:ind w:right="1588" w:hanging="260"/>
      </w:pPr>
      <w:r>
        <w:t xml:space="preserve">Çalışan: Özel hukuk sözleşmesi veya benzeri bir hukuki ilişki gereğince başkasının hizmetinde olan ve bu hizmet ilişkisini işverenin gösterdiği belli bir işle ilgili olarak kişisel bir bağımlılık içinde ona karşı yerine getirmekle yükümlü olan kişiler ile kamu görevlilerini, </w:t>
      </w:r>
    </w:p>
    <w:p w:rsidR="009A3C1A" w:rsidRDefault="008D2481">
      <w:pPr>
        <w:numPr>
          <w:ilvl w:val="0"/>
          <w:numId w:val="1"/>
        </w:numPr>
        <w:ind w:right="1588" w:hanging="260"/>
      </w:pPr>
      <w:r>
        <w:t xml:space="preserve">Endüstriyel Tasarım: Bir ürünün tümü veya bir parçası veya üzerindeki süslemenin, çizgi, şekil, biçim, renk, doku, malzeme veya esneklik gibi insan duyuları ile algılanan çeşitli unsur veya özelliklerin oluşturduğu bütünü, </w:t>
      </w:r>
    </w:p>
    <w:p w:rsidR="009A3C1A" w:rsidRDefault="008D2481">
      <w:pPr>
        <w:numPr>
          <w:ilvl w:val="0"/>
          <w:numId w:val="1"/>
        </w:numPr>
        <w:spacing w:after="0"/>
        <w:ind w:right="1588" w:hanging="260"/>
      </w:pPr>
      <w:r>
        <w:t xml:space="preserve">Hizmet Buluşları: Araştırmacıların, üniversite bünyesinde yaptıkları bilimsel çalışmalar veya araştırmalar sonucunda gerçekleştirdikleri buluşlar, </w:t>
      </w:r>
    </w:p>
    <w:p w:rsidR="009A3C1A" w:rsidRDefault="008D2481">
      <w:pPr>
        <w:numPr>
          <w:ilvl w:val="0"/>
          <w:numId w:val="1"/>
        </w:numPr>
        <w:ind w:right="1588" w:hanging="260"/>
      </w:pPr>
      <w:r>
        <w:t xml:space="preserve">Fikri ve Sınai Mülkiyet Hakları (FSMH): Tasarım, patent, marka, coğrafi işaret, </w:t>
      </w:r>
      <w:proofErr w:type="gramStart"/>
      <w:r>
        <w:t>entegre</w:t>
      </w:r>
      <w:proofErr w:type="gramEnd"/>
      <w:r>
        <w:t xml:space="preserve"> devre, faydalı model, </w:t>
      </w:r>
      <w:proofErr w:type="spellStart"/>
      <w:r>
        <w:t>know</w:t>
      </w:r>
      <w:proofErr w:type="spellEnd"/>
      <w:r>
        <w:t>-how, geleneksel ürün adları ve benzerlerini, özgün fikirler ve eserler dahil olmak üzere telif hakları, tescilli veya tescilsiz tüm benzeri fikri ve sınai mülkiyet hakları, bu haklara istinaden yapılmış başvuruları,</w:t>
      </w:r>
    </w:p>
    <w:p w:rsidR="009A3C1A" w:rsidRDefault="008D2481">
      <w:pPr>
        <w:ind w:left="1438" w:right="1588"/>
      </w:pPr>
      <w:r>
        <w:t>ğ) Fikri ve Sınai Mülkiyet Hakları Değerlendirme Kurulu (FMHDK): Üniversitenin Fikri ve Sınai Mülkiyet Hakları Değerlendirme Kurulunu,</w:t>
      </w:r>
    </w:p>
    <w:p w:rsidR="009A3C1A" w:rsidRDefault="008D2481">
      <w:pPr>
        <w:numPr>
          <w:ilvl w:val="0"/>
          <w:numId w:val="1"/>
        </w:numPr>
        <w:spacing w:after="114" w:line="259" w:lineRule="auto"/>
        <w:ind w:right="1588" w:hanging="260"/>
      </w:pPr>
      <w:r>
        <w:t xml:space="preserve">Kurum: Türk Patent ve Marka Kurumunu,  </w:t>
      </w:r>
    </w:p>
    <w:p w:rsidR="009A3C1A" w:rsidRDefault="008D2481">
      <w:pPr>
        <w:ind w:left="1438" w:right="1588"/>
      </w:pPr>
      <w:r>
        <w:t xml:space="preserve">ı) Lisanslama: Sınai mülkiyet hakları kullanımının bedel karşılığında devredilmesini,  </w:t>
      </w:r>
    </w:p>
    <w:p w:rsidR="009A3C1A" w:rsidRDefault="008D2481">
      <w:pPr>
        <w:numPr>
          <w:ilvl w:val="0"/>
          <w:numId w:val="1"/>
        </w:numPr>
        <w:ind w:right="1588" w:hanging="260"/>
      </w:pPr>
      <w:proofErr w:type="gramStart"/>
      <w:r>
        <w:t xml:space="preserve">Marka: Bir teşebbüsün mallarının veya hizmetlerinin diğer teşebbüslerin mallarından veya hizmetlerinden ayırt edilmesini sağlaması ve marka sahibine sağlanan korumanın konusunun açık ve kesin olarak anlaşılmasını sağlayabilecek şekilde ve sicilde gösterilebilir olması koşuluyla; kişi adları dâhil sözcükler, şekiller, renkler, harfler, sayılar, sesler ve malların veya ambalajlarının biçimi olmak üzere her tür işareti, </w:t>
      </w:r>
      <w:proofErr w:type="gramEnd"/>
    </w:p>
    <w:p w:rsidR="009A3C1A" w:rsidRDefault="008D2481">
      <w:pPr>
        <w:numPr>
          <w:ilvl w:val="0"/>
          <w:numId w:val="1"/>
        </w:numPr>
        <w:ind w:right="1588" w:hanging="260"/>
      </w:pPr>
      <w:r>
        <w:t xml:space="preserve">Patent: Teknolojinin her alanındaki buluşlara; yeni olması, buluş basamağı içermesi ve sanayiye </w:t>
      </w:r>
      <w:proofErr w:type="spellStart"/>
      <w:r>
        <w:t>uyulanabilir</w:t>
      </w:r>
      <w:proofErr w:type="spellEnd"/>
      <w:r>
        <w:t xml:space="preserve"> olması koşuluyla ulusal patent ofisleri tarafından verilen yasal mülkiyet hakkını, </w:t>
      </w:r>
    </w:p>
    <w:p w:rsidR="009A3C1A" w:rsidRDefault="008D2481">
      <w:pPr>
        <w:numPr>
          <w:ilvl w:val="0"/>
          <w:numId w:val="1"/>
        </w:numPr>
        <w:spacing w:after="114" w:line="259" w:lineRule="auto"/>
        <w:ind w:right="1588" w:hanging="260"/>
      </w:pPr>
      <w:r>
        <w:t>Rektör: Osmaniye Korkut Ata Üniversitesi Rektörünü,</w:t>
      </w:r>
    </w:p>
    <w:p w:rsidR="009A3C1A" w:rsidRDefault="008D2481">
      <w:pPr>
        <w:numPr>
          <w:ilvl w:val="0"/>
          <w:numId w:val="1"/>
        </w:numPr>
        <w:spacing w:after="114" w:line="259" w:lineRule="auto"/>
        <w:ind w:right="1588" w:hanging="260"/>
      </w:pPr>
      <w:r>
        <w:t xml:space="preserve">Senato: Osmaniye Korkut Ata Üniversitesi Senatosunu, </w:t>
      </w:r>
    </w:p>
    <w:p w:rsidR="009A3C1A" w:rsidRDefault="008D2481">
      <w:pPr>
        <w:numPr>
          <w:ilvl w:val="0"/>
          <w:numId w:val="1"/>
        </w:numPr>
        <w:spacing w:after="0"/>
        <w:ind w:right="1588" w:hanging="260"/>
      </w:pPr>
      <w:r>
        <w:t xml:space="preserve">Serbest Buluşlar: Hizmet buluşlarının dışında kalan diğer buluşlar ya da üniversitenin talep hakkının bulunmadığı, hak talep etmediği buluşlar, </w:t>
      </w:r>
    </w:p>
    <w:p w:rsidR="009A3C1A" w:rsidRDefault="008D2481">
      <w:pPr>
        <w:numPr>
          <w:ilvl w:val="0"/>
          <w:numId w:val="2"/>
        </w:numPr>
        <w:ind w:right="1588" w:hanging="260"/>
      </w:pPr>
      <w:r>
        <w:t xml:space="preserve">Ticarileştirme: Fikri ve sınai mülkiyet haklarının, devir ve lisanslama şirketi aracılığıyla veya herhangi bir şekilde kullanılması da dâhil olmak üzere ticari amaçlı tasarrufunu, </w:t>
      </w:r>
    </w:p>
    <w:p w:rsidR="009A3C1A" w:rsidRDefault="008D2481">
      <w:pPr>
        <w:spacing w:after="114" w:line="259" w:lineRule="auto"/>
        <w:ind w:left="1438" w:right="1588"/>
      </w:pPr>
      <w:r>
        <w:lastRenderedPageBreak/>
        <w:t>ö) TTO: Osmaniye Korkut Ata Üniversitesi Teknoloji Transfer Ofisini,</w:t>
      </w:r>
    </w:p>
    <w:p w:rsidR="009A3C1A" w:rsidRDefault="008D2481">
      <w:pPr>
        <w:numPr>
          <w:ilvl w:val="0"/>
          <w:numId w:val="2"/>
        </w:numPr>
        <w:spacing w:after="114" w:line="259" w:lineRule="auto"/>
        <w:ind w:right="1588" w:hanging="260"/>
      </w:pPr>
      <w:r>
        <w:t>Üniversite: Osmaniye Korkut Ata Üniversitesini,</w:t>
      </w:r>
    </w:p>
    <w:p w:rsidR="009A3C1A" w:rsidRDefault="008D2481">
      <w:pPr>
        <w:spacing w:after="414"/>
        <w:ind w:left="1438" w:right="1588"/>
      </w:pPr>
      <w:r>
        <w:t xml:space="preserve">r) Yönetim Kurulu: Osmaniye Korkut Ata Üniversitesi Yönetim Kurulunu, ifade etmektedir. </w:t>
      </w:r>
    </w:p>
    <w:p w:rsidR="009A3C1A" w:rsidRDefault="008D2481">
      <w:pPr>
        <w:pStyle w:val="Balk2"/>
        <w:ind w:left="1438"/>
      </w:pPr>
      <w:r>
        <w:t>Yükümlülükler</w:t>
      </w:r>
    </w:p>
    <w:p w:rsidR="009A3C1A" w:rsidRDefault="008D2481">
      <w:pPr>
        <w:spacing w:after="414"/>
        <w:ind w:left="1438" w:right="1588"/>
      </w:pPr>
      <w:r>
        <w:rPr>
          <w:b/>
        </w:rPr>
        <w:t xml:space="preserve">Madde 4 </w:t>
      </w:r>
      <w:r>
        <w:t>– Üniversite; tüm fikri ve sınai haklar konusundaki bildirimlerin alınması, yanıtlanması ve yürütülmesiyle ilgili işlemleri TTO üzerinden yapar.</w:t>
      </w:r>
      <w:r>
        <w:rPr>
          <w:sz w:val="22"/>
        </w:rPr>
        <w:t xml:space="preserve"> </w:t>
      </w:r>
      <w:r>
        <w:t xml:space="preserve">Üniversitenin öğretim elemanları veya öğrencileri fikri ve sınai mülkiyete konu olabilecek bir fikir ürününü, Ek-1'deki “Buluş Bildirim </w:t>
      </w:r>
      <w:proofErr w:type="spellStart"/>
      <w:r>
        <w:t>Formu’nu</w:t>
      </w:r>
      <w:proofErr w:type="spellEnd"/>
      <w:r>
        <w:t xml:space="preserve"> doldurarak </w:t>
      </w:r>
      <w:proofErr w:type="spellStart"/>
      <w:r>
        <w:t>TTO’ya</w:t>
      </w:r>
      <w:proofErr w:type="spellEnd"/>
      <w:r>
        <w:t xml:space="preserve"> bildirmekle yükümlüdür. </w:t>
      </w:r>
    </w:p>
    <w:p w:rsidR="009A3C1A" w:rsidRDefault="008D2481">
      <w:pPr>
        <w:pStyle w:val="Balk2"/>
        <w:ind w:left="1438"/>
      </w:pPr>
      <w:proofErr w:type="spellStart"/>
      <w:r>
        <w:t>TTO’nun</w:t>
      </w:r>
      <w:proofErr w:type="spellEnd"/>
      <w:r>
        <w:t xml:space="preserve"> Yükümlülükleri ve Buluş Bildirimine İlişkin Süreçler</w:t>
      </w:r>
    </w:p>
    <w:p w:rsidR="009A3C1A" w:rsidRDefault="008D2481">
      <w:pPr>
        <w:ind w:left="1438" w:right="1588"/>
      </w:pPr>
      <w:r>
        <w:rPr>
          <w:b/>
        </w:rPr>
        <w:t xml:space="preserve">Madde 5 </w:t>
      </w:r>
      <w:r>
        <w:t xml:space="preserve">– (1) TTO, bildirim ulaştıktan sonra buluş bildirimini kaydeder ve bildirimin kendisine ulaştığı tarihi, bildirimde bulunan kişi veya kişilere gecikmeksizin yazılı olarak bildirir. Bildirimin ön değerlendirmesini yaparak düzeltme/değişiklik gerektirmeyen bildirimler için “Ön Değerlendirme Raporu’nu hazırlayarak </w:t>
      </w:r>
      <w:proofErr w:type="spellStart"/>
      <w:r>
        <w:t>FMHDK’ya</w:t>
      </w:r>
      <w:proofErr w:type="spellEnd"/>
      <w:r>
        <w:t xml:space="preserve"> sunar.</w:t>
      </w:r>
    </w:p>
    <w:p w:rsidR="009A3C1A" w:rsidRDefault="008D2481">
      <w:pPr>
        <w:numPr>
          <w:ilvl w:val="0"/>
          <w:numId w:val="3"/>
        </w:numPr>
        <w:ind w:right="1588"/>
      </w:pPr>
      <w:r>
        <w:t>Buluş bildiriminde eksiklik olması halinde TTO, bildirimin kendisine ulaştığı tarihten itibaren iki ay içinde eksikliklerin giderilmesini buluşu yapana bildirir. Aksi halde, buluş bildirimi usulüne uygun yapılmış sayılır.</w:t>
      </w:r>
    </w:p>
    <w:p w:rsidR="009A3C1A" w:rsidRDefault="008D2481">
      <w:pPr>
        <w:numPr>
          <w:ilvl w:val="0"/>
          <w:numId w:val="3"/>
        </w:numPr>
        <w:ind w:right="1588"/>
      </w:pPr>
      <w:r>
        <w:t xml:space="preserve">Buluşu yapan, Madde 5 (2) uyarınca yapılan bildirimde belirtilen eksiklikleri, bildirimin kendisine ulaştığı tarihten itibaren bir ay içinde giderir. </w:t>
      </w:r>
    </w:p>
    <w:p w:rsidR="009A3C1A" w:rsidRDefault="008D2481">
      <w:pPr>
        <w:spacing w:line="259" w:lineRule="auto"/>
        <w:ind w:left="1438" w:right="1588"/>
      </w:pPr>
      <w:r>
        <w:t xml:space="preserve">Aksi takdirde buluş bildirimi usulüne uygun olarak yapılmamış sayılır. </w:t>
      </w:r>
    </w:p>
    <w:p w:rsidR="009A3C1A" w:rsidRDefault="008D2481">
      <w:pPr>
        <w:numPr>
          <w:ilvl w:val="0"/>
          <w:numId w:val="3"/>
        </w:numPr>
        <w:spacing w:after="414"/>
        <w:ind w:right="1588"/>
      </w:pPr>
      <w:r>
        <w:t xml:space="preserve">TTO, yapılan bildirim üzerine buluşla ilgili olarak hak sahipliği talep edebilir. TTO, hak sahipliği talebine ilişkin kararını, buluş veya başvuru bildiriminin </w:t>
      </w:r>
      <w:proofErr w:type="spellStart"/>
      <w:r>
        <w:t>TTO’ya</w:t>
      </w:r>
      <w:proofErr w:type="spellEnd"/>
      <w:r>
        <w:t xml:space="preserve"> ulaştığı tarihten itibaren dört ay içinde buluşu yapana yazılı olarak bildirmek zorundadır. Aksi takdirde buluşun serbest buluş olduğu kabul edilir.</w:t>
      </w:r>
    </w:p>
    <w:p w:rsidR="009A3C1A" w:rsidRDefault="008D2481">
      <w:pPr>
        <w:pStyle w:val="Balk2"/>
        <w:ind w:left="1438"/>
      </w:pPr>
      <w:r>
        <w:t>FMHDK Oluşumu</w:t>
      </w:r>
    </w:p>
    <w:p w:rsidR="009A3C1A" w:rsidRDefault="008D2481">
      <w:pPr>
        <w:ind w:left="1438" w:right="1588"/>
      </w:pPr>
      <w:r>
        <w:rPr>
          <w:b/>
        </w:rPr>
        <w:t xml:space="preserve">Madde 6 </w:t>
      </w:r>
      <w:r>
        <w:t xml:space="preserve">– (1) FMHDK, Osmaniye Korkut Ata Üniversite Rektörlüğüne bağlı olup FMHDK üyeleri; Rektör tarafından görevlendirilen Bilimsel Araştırma Projelerinden Sorumlu Rektör Yardımcısı, Osmaniye Korkut Ata Üniversitesi </w:t>
      </w:r>
    </w:p>
    <w:p w:rsidR="009A3C1A" w:rsidRDefault="008D2481">
      <w:pPr>
        <w:spacing w:after="414"/>
        <w:ind w:left="1438" w:right="1588"/>
      </w:pPr>
      <w:r>
        <w:t>Teknoloji Transfer Ofisi Sorumlusu, Osmaniye Korkut Ata Üniversitesi Hukuk Müşaviri ve Senato tarafından seçilen en az 4 öğretim elemanından oluşur. Üyeler, 3 yıl süreyle görevlendirilir. Herhangi bir nedenle üyeliğin boşalması halinde birinci fıkradaki usule göre yeniden görevlendirme yapılır. Süresi dolan üye, yeniden görevlendirilebilir.</w:t>
      </w:r>
      <w:r>
        <w:rPr>
          <w:sz w:val="22"/>
        </w:rPr>
        <w:t xml:space="preserve"> </w:t>
      </w:r>
      <w:r>
        <w:t xml:space="preserve">FMHDK Başkanı, Rektör Yardımcısıdır. FMHDK, Başkanın çağrısı üzerine salt çoğunlukla toplanır ve kararlar, üye tam </w:t>
      </w:r>
      <w:r>
        <w:lastRenderedPageBreak/>
        <w:t>sayısının salt çoğunluğuyla alınır. Başkan tarafından Üniversite bünyesindeki konunun uzmanlarından gerekli hâllerde görüş istenebilir. FMHDK kararları tavsiye niteliğinde olup Yönetim Kurulunun onayını gerektirir.</w:t>
      </w:r>
    </w:p>
    <w:p w:rsidR="009A3C1A" w:rsidRDefault="008D2481">
      <w:pPr>
        <w:spacing w:after="0" w:line="358" w:lineRule="auto"/>
        <w:ind w:left="1438" w:right="4021"/>
        <w:jc w:val="left"/>
      </w:pPr>
      <w:proofErr w:type="spellStart"/>
      <w:r>
        <w:rPr>
          <w:b/>
        </w:rPr>
        <w:t>FMHDK’nın</w:t>
      </w:r>
      <w:proofErr w:type="spellEnd"/>
      <w:r>
        <w:rPr>
          <w:b/>
        </w:rPr>
        <w:t xml:space="preserve"> Yükümlülükleri ve Görevleri Madde 7 </w:t>
      </w:r>
      <w:r>
        <w:t xml:space="preserve">– </w:t>
      </w:r>
      <w:proofErr w:type="spellStart"/>
      <w:r>
        <w:t>FMHDK’nın</w:t>
      </w:r>
      <w:proofErr w:type="spellEnd"/>
      <w:r>
        <w:t xml:space="preserve"> görevleri:</w:t>
      </w:r>
    </w:p>
    <w:p w:rsidR="009A3C1A" w:rsidRDefault="008D2481">
      <w:pPr>
        <w:numPr>
          <w:ilvl w:val="0"/>
          <w:numId w:val="4"/>
        </w:numPr>
        <w:ind w:right="1588" w:hanging="260"/>
      </w:pPr>
      <w:r>
        <w:t xml:space="preserve">Kurula gönderilen Buluş Bildirim Raporlarını değerlendirerek konuyla ilgili kararını Üniversite Yönetim Kuruluna sunmak, </w:t>
      </w:r>
    </w:p>
    <w:p w:rsidR="009A3C1A" w:rsidRDefault="008D2481">
      <w:pPr>
        <w:numPr>
          <w:ilvl w:val="0"/>
          <w:numId w:val="4"/>
        </w:numPr>
        <w:spacing w:after="114" w:line="259" w:lineRule="auto"/>
        <w:ind w:right="1588" w:hanging="260"/>
      </w:pPr>
      <w:proofErr w:type="gramStart"/>
      <w:r>
        <w:t>Üniversitenin  fikri</w:t>
      </w:r>
      <w:proofErr w:type="gramEnd"/>
      <w:r>
        <w:t xml:space="preserve"> ve sınai haklarla ilgili politikalarını belirlemek,  </w:t>
      </w:r>
    </w:p>
    <w:p w:rsidR="009A3C1A" w:rsidRDefault="008D2481">
      <w:pPr>
        <w:numPr>
          <w:ilvl w:val="0"/>
          <w:numId w:val="4"/>
        </w:numPr>
        <w:ind w:right="1588" w:hanging="260"/>
      </w:pPr>
      <w:r>
        <w:t xml:space="preserve">Fikri ve sınai haklar kapsamındaki tüm fikir ürünlerini idari, hukuki ve ekonomik açıdan yönlendirmek, </w:t>
      </w:r>
    </w:p>
    <w:p w:rsidR="009A3C1A" w:rsidRDefault="008D2481">
      <w:pPr>
        <w:ind w:left="1438" w:right="1588"/>
      </w:pPr>
      <w:r>
        <w:t xml:space="preserve">ç) Üniversite lehine korunan fikri ve sınai hak ürünlerinin üçüncü kişiler tarafından izinsiz kullanımıyla oluşan hak ihlali durumlarını raporlayarak </w:t>
      </w:r>
    </w:p>
    <w:p w:rsidR="009A3C1A" w:rsidRDefault="008D2481">
      <w:pPr>
        <w:spacing w:after="114" w:line="259" w:lineRule="auto"/>
        <w:ind w:left="1438" w:right="1588"/>
      </w:pPr>
      <w:r>
        <w:t xml:space="preserve">Üniversite Yönetim Kuruluna iletmek, </w:t>
      </w:r>
    </w:p>
    <w:p w:rsidR="009A3C1A" w:rsidRDefault="008D2481">
      <w:pPr>
        <w:numPr>
          <w:ilvl w:val="0"/>
          <w:numId w:val="4"/>
        </w:numPr>
        <w:ind w:right="1588" w:hanging="260"/>
      </w:pPr>
      <w:r>
        <w:t>Fikri ve sınai hakların korunması için ulusal ve uluslararası başvuruların hangi ülkelerde yapılacağının tespitini yapmak,</w:t>
      </w:r>
    </w:p>
    <w:p w:rsidR="009A3C1A" w:rsidRDefault="008D2481">
      <w:pPr>
        <w:numPr>
          <w:ilvl w:val="0"/>
          <w:numId w:val="4"/>
        </w:numPr>
        <w:spacing w:after="0"/>
        <w:ind w:right="1588" w:hanging="260"/>
      </w:pPr>
      <w:r>
        <w:t xml:space="preserve">Konunun özelliğine ve belirlenmiş işletme politikalarına uygunluğuna göre bazı fikri ve sınai hak ürünlerinin ticaret sırrı olarak saklanmasının ve açıklanmamasının tespitini yapmak, </w:t>
      </w:r>
    </w:p>
    <w:p w:rsidR="009A3C1A" w:rsidRDefault="008D2481">
      <w:pPr>
        <w:numPr>
          <w:ilvl w:val="0"/>
          <w:numId w:val="4"/>
        </w:numPr>
        <w:ind w:right="1588" w:hanging="260"/>
      </w:pPr>
      <w:r>
        <w:t xml:space="preserve">Bu politika ve esaslara uygun olarak fikri ve sınai hak sahipliği ile ilgili bedelleri belirlemek,  </w:t>
      </w:r>
    </w:p>
    <w:p w:rsidR="009A3C1A" w:rsidRDefault="008D2481">
      <w:pPr>
        <w:numPr>
          <w:ilvl w:val="0"/>
          <w:numId w:val="4"/>
        </w:numPr>
        <w:ind w:right="1588" w:hanging="260"/>
      </w:pPr>
      <w:r>
        <w:t xml:space="preserve">Üniversite-sanayi işbirliği sonucunda ortaya çıkan fikri ve sınai haklar üzerindeki hak sahipliği konusunda gerekli tespitleri yapmak,  </w:t>
      </w:r>
    </w:p>
    <w:p w:rsidR="009A3C1A" w:rsidRDefault="008D2481">
      <w:pPr>
        <w:ind w:left="1438" w:right="1588"/>
      </w:pPr>
      <w:r>
        <w:t>ğ) Patent veya faydalı model belgelerine ilişkin yıllık yenileme ücretlerin yatırılması ile tasarımların ve markaların süresinde yenilenmesini takip etmek,</w:t>
      </w:r>
    </w:p>
    <w:p w:rsidR="009A3C1A" w:rsidRDefault="008D2481">
      <w:pPr>
        <w:ind w:left="1438" w:right="1588"/>
      </w:pPr>
      <w:r>
        <w:t xml:space="preserve">ı) Gerekli durumlarda </w:t>
      </w:r>
      <w:proofErr w:type="spellStart"/>
      <w:r>
        <w:t>BBF’nin</w:t>
      </w:r>
      <w:proofErr w:type="spellEnd"/>
      <w:r>
        <w:t xml:space="preserve"> güncellenmesini/yeniden hazırlanmasını talep etmek,</w:t>
      </w:r>
    </w:p>
    <w:p w:rsidR="009A3C1A" w:rsidRDefault="008D2481">
      <w:pPr>
        <w:numPr>
          <w:ilvl w:val="0"/>
          <w:numId w:val="5"/>
        </w:numPr>
        <w:ind w:right="1588" w:hanging="207"/>
      </w:pPr>
      <w:r>
        <w:t xml:space="preserve">Teknoloji Geliştirme Bölgesinde Üniversite öğretim elemanları tarafından üretilen bilgi sonucunda çıkan fikri ve sınai mülkiyet hak sahipliği konusunda </w:t>
      </w:r>
    </w:p>
    <w:p w:rsidR="009A3C1A" w:rsidRDefault="008D2481">
      <w:pPr>
        <w:spacing w:after="114" w:line="259" w:lineRule="auto"/>
        <w:ind w:left="1438" w:right="1588"/>
      </w:pPr>
      <w:r>
        <w:t>Yönetim Kuruluna görüş bildirmek,</w:t>
      </w:r>
    </w:p>
    <w:p w:rsidR="009A3C1A" w:rsidRDefault="008D2481">
      <w:pPr>
        <w:numPr>
          <w:ilvl w:val="0"/>
          <w:numId w:val="5"/>
        </w:numPr>
        <w:spacing w:after="430"/>
        <w:ind w:right="1588" w:hanging="207"/>
      </w:pPr>
      <w:r>
        <w:t>Yönetim Kurulu tarafından verilen görevleri yapmaktır.</w:t>
      </w:r>
    </w:p>
    <w:p w:rsidR="009A3C1A" w:rsidRDefault="008D2481">
      <w:pPr>
        <w:pStyle w:val="Balk2"/>
        <w:ind w:left="1438"/>
      </w:pPr>
      <w:r>
        <w:t>Yönetim Kurulunun Yükümlülükleri</w:t>
      </w:r>
    </w:p>
    <w:p w:rsidR="009A3C1A" w:rsidRDefault="008D2481">
      <w:pPr>
        <w:spacing w:after="114" w:line="259" w:lineRule="auto"/>
        <w:ind w:left="1438" w:right="1588"/>
      </w:pPr>
      <w:r>
        <w:rPr>
          <w:b/>
        </w:rPr>
        <w:t xml:space="preserve">Madde 8 </w:t>
      </w:r>
      <w:r>
        <w:t>–</w:t>
      </w:r>
      <w:r>
        <w:rPr>
          <w:b/>
        </w:rPr>
        <w:t xml:space="preserve"> </w:t>
      </w:r>
      <w:r>
        <w:t>(1) Yönetim Kurulunun yükümlülükleri:</w:t>
      </w:r>
    </w:p>
    <w:p w:rsidR="009A3C1A" w:rsidRDefault="008D2481">
      <w:pPr>
        <w:numPr>
          <w:ilvl w:val="0"/>
          <w:numId w:val="6"/>
        </w:numPr>
        <w:spacing w:after="114" w:line="259" w:lineRule="auto"/>
        <w:ind w:right="1588" w:hanging="246"/>
      </w:pPr>
      <w:r>
        <w:t>Fikri ve sınai mülkiyet haklarının ticari değeriyle ilgili kararı vermek,</w:t>
      </w:r>
    </w:p>
    <w:p w:rsidR="009A3C1A" w:rsidRDefault="008D2481">
      <w:pPr>
        <w:numPr>
          <w:ilvl w:val="0"/>
          <w:numId w:val="6"/>
        </w:numPr>
        <w:ind w:right="1588" w:hanging="246"/>
      </w:pPr>
      <w:r>
        <w:t xml:space="preserve">Üniversitenin fikri ve sınai mülkiyet üzerindeki hak sahipliğinden feragat etmek. </w:t>
      </w:r>
    </w:p>
    <w:p w:rsidR="009A3C1A" w:rsidRDefault="008D2481">
      <w:pPr>
        <w:numPr>
          <w:ilvl w:val="0"/>
          <w:numId w:val="6"/>
        </w:numPr>
        <w:spacing w:after="0"/>
        <w:ind w:right="1588" w:hanging="246"/>
      </w:pPr>
      <w:r>
        <w:t>Buluş ve tasarımın, serbest buluş ve tasarım niteliği kazanmasına ilişkin karar vermek,</w:t>
      </w:r>
    </w:p>
    <w:p w:rsidR="009A3C1A" w:rsidRDefault="008D2481">
      <w:pPr>
        <w:ind w:left="1438" w:right="1588"/>
      </w:pPr>
      <w:r>
        <w:lastRenderedPageBreak/>
        <w:t>ç) Gerekli durumlarda teknoloji ön değerlendirme raporunun güncellenmesini veya yeniden hazırlanmasını talep etmek,</w:t>
      </w:r>
    </w:p>
    <w:p w:rsidR="009A3C1A" w:rsidRDefault="008D2481">
      <w:pPr>
        <w:numPr>
          <w:ilvl w:val="0"/>
          <w:numId w:val="6"/>
        </w:numPr>
        <w:ind w:right="1588" w:hanging="246"/>
      </w:pPr>
      <w:r>
        <w:t>Üniversitenin başvuru yapmayacağı ülkelerdeki fikri ve sınai mülkiyete ilişkin haklarını, hak sahibinin talebine istinaden, ilgiliye devretme kararını vermek,</w:t>
      </w:r>
    </w:p>
    <w:p w:rsidR="009A3C1A" w:rsidRDefault="008D2481">
      <w:pPr>
        <w:numPr>
          <w:ilvl w:val="0"/>
          <w:numId w:val="6"/>
        </w:numPr>
        <w:ind w:right="1588" w:hanging="246"/>
      </w:pPr>
      <w:r>
        <w:t>Bu yönerge çerçevesinde alınan kararları ilgililere 2 ay içinde yazılı olarak bildirmek,</w:t>
      </w:r>
    </w:p>
    <w:p w:rsidR="009A3C1A" w:rsidRDefault="008D2481">
      <w:pPr>
        <w:numPr>
          <w:ilvl w:val="0"/>
          <w:numId w:val="6"/>
        </w:numPr>
        <w:ind w:right="1588" w:hanging="246"/>
      </w:pPr>
      <w:r>
        <w:t xml:space="preserve">Başvurusu yapılmış buluşun 5 </w:t>
      </w:r>
      <w:proofErr w:type="gramStart"/>
      <w:r>
        <w:t>yıl sonunda</w:t>
      </w:r>
      <w:proofErr w:type="gramEnd"/>
      <w:r>
        <w:t xml:space="preserve"> ticarileşmemesi durumunda fikri ve sınai mülkiyet üzerindeki hakkını yeniden değerlendirmek ve bu hakkı ile ilgili yeniden karar almak.</w:t>
      </w:r>
    </w:p>
    <w:p w:rsidR="009A3C1A" w:rsidRDefault="008D2481">
      <w:pPr>
        <w:spacing w:after="114" w:line="259" w:lineRule="auto"/>
        <w:ind w:left="10" w:right="159"/>
        <w:jc w:val="center"/>
      </w:pPr>
      <w:r>
        <w:rPr>
          <w:b/>
        </w:rPr>
        <w:t>İKİNCİ BÖLÜM</w:t>
      </w:r>
    </w:p>
    <w:p w:rsidR="009A3C1A" w:rsidRDefault="008D2481">
      <w:pPr>
        <w:spacing w:after="522" w:line="265" w:lineRule="auto"/>
        <w:ind w:left="10" w:right="159"/>
        <w:jc w:val="center"/>
      </w:pPr>
      <w:r>
        <w:rPr>
          <w:b/>
        </w:rPr>
        <w:t>Paylaşım Esasları</w:t>
      </w:r>
    </w:p>
    <w:p w:rsidR="009A3C1A" w:rsidRDefault="008D2481">
      <w:pPr>
        <w:pStyle w:val="Balk2"/>
        <w:ind w:left="1438"/>
      </w:pPr>
      <w:r>
        <w:t>Gelirlerin Dağılımında Fikri ve Sınai Hak Sahipliği</w:t>
      </w:r>
    </w:p>
    <w:p w:rsidR="009A3C1A" w:rsidRDefault="008D2481">
      <w:pPr>
        <w:ind w:left="1438" w:right="1588"/>
      </w:pPr>
      <w:r>
        <w:rPr>
          <w:b/>
        </w:rPr>
        <w:t xml:space="preserve">Madde 9 </w:t>
      </w:r>
      <w:r>
        <w:t>–</w:t>
      </w:r>
      <w:r>
        <w:rPr>
          <w:b/>
        </w:rPr>
        <w:t xml:space="preserve"> </w:t>
      </w:r>
      <w:r>
        <w:t>(1) Öğretim elemanları veya öğrenciler tarafından yapılan buluş veya geliştirmeye dair Üniversitenin karar alması durumunda TTO aracılığıyla üniversite fikri ve sınai hak koruması konusunda belgelendirme, projelendirme ve ticarileştirme gibi süreçler için gerekli çalışmaları yapar.</w:t>
      </w:r>
    </w:p>
    <w:p w:rsidR="009A3C1A" w:rsidRDefault="008D2481">
      <w:pPr>
        <w:spacing w:after="414"/>
        <w:ind w:left="1438" w:right="1588"/>
      </w:pPr>
      <w:r>
        <w:t>(2)</w:t>
      </w:r>
      <w:r>
        <w:rPr>
          <w:sz w:val="22"/>
        </w:rPr>
        <w:t xml:space="preserve"> </w:t>
      </w:r>
      <w:r>
        <w:t xml:space="preserve">Maliyeti düşürüldükten sonra her bir buluşa ilişkin lisans veya devir gelirlerinin %50 </w:t>
      </w:r>
      <w:proofErr w:type="spellStart"/>
      <w:r>
        <w:t>lik</w:t>
      </w:r>
      <w:proofErr w:type="spellEnd"/>
      <w:r>
        <w:t xml:space="preserve"> kısmı buluş sahiplerine hak paylaşımı oranında aktarılır. Bedel ve ödeme şekli, üniversitede gerçekleştirilen buluşa ilişkin üniversitenin hak sahipliği talebinde bulunmasını takiben, üniversite ile buluşu yapan arasında imzalanan sözleşme veya benzeri hukuki ilişki hükümlerince Yönetim Kurulu tarafından takdir edilecek oran ve usulde belirlenir. Buluşu yapanın birden fazla olması durumunda, buluşu yapana verilen miktarın paylaşımı buluş üzerindeki katkı payları oranında gerçekleştirilir.</w:t>
      </w:r>
    </w:p>
    <w:p w:rsidR="009A3C1A" w:rsidRDefault="008D2481">
      <w:pPr>
        <w:spacing w:after="114" w:line="259" w:lineRule="auto"/>
        <w:ind w:left="10" w:right="160"/>
        <w:jc w:val="center"/>
      </w:pPr>
      <w:r>
        <w:rPr>
          <w:b/>
        </w:rPr>
        <w:t>ÜÇÜNCÜ BÖLÜM</w:t>
      </w:r>
    </w:p>
    <w:p w:rsidR="009A3C1A" w:rsidRDefault="008D2481">
      <w:pPr>
        <w:spacing w:after="114" w:line="259" w:lineRule="auto"/>
        <w:ind w:left="10" w:right="160"/>
        <w:jc w:val="center"/>
      </w:pPr>
      <w:r>
        <w:rPr>
          <w:b/>
        </w:rPr>
        <w:t>Çeşitli ve Son Hükümler</w:t>
      </w:r>
    </w:p>
    <w:p w:rsidR="009A3C1A" w:rsidRDefault="008D2481">
      <w:pPr>
        <w:pStyle w:val="Balk2"/>
        <w:ind w:left="1438"/>
      </w:pPr>
      <w:r>
        <w:t>Yürürlük</w:t>
      </w:r>
    </w:p>
    <w:p w:rsidR="009A3C1A" w:rsidRDefault="008D2481">
      <w:pPr>
        <w:spacing w:after="414"/>
        <w:ind w:left="1438" w:right="1588"/>
      </w:pPr>
      <w:r>
        <w:rPr>
          <w:b/>
        </w:rPr>
        <w:t xml:space="preserve">Madde 10 </w:t>
      </w:r>
      <w:r>
        <w:t>– Bu yönerge, Senato tarafından kabul edildiği tarihte yürürlüğe girer.</w:t>
      </w:r>
    </w:p>
    <w:p w:rsidR="009A3C1A" w:rsidRDefault="008D2481">
      <w:pPr>
        <w:pStyle w:val="Balk2"/>
        <w:ind w:left="1438"/>
      </w:pPr>
      <w:r>
        <w:t xml:space="preserve">Yürütme  </w:t>
      </w:r>
    </w:p>
    <w:p w:rsidR="009A3C1A" w:rsidRDefault="008D2481">
      <w:pPr>
        <w:ind w:left="1438" w:right="1588"/>
      </w:pPr>
      <w:r>
        <w:rPr>
          <w:b/>
        </w:rPr>
        <w:t>Madde 11</w:t>
      </w:r>
      <w:r>
        <w:t xml:space="preserve"> – Bu Yönergeyi Osmaniye Korkut Ata Üniversitesi Rektörü yürütür.</w:t>
      </w:r>
    </w:p>
    <w:p w:rsidR="009A3C1A" w:rsidRDefault="008D2481">
      <w:pPr>
        <w:pStyle w:val="Balk2"/>
        <w:spacing w:after="251"/>
        <w:ind w:left="1438"/>
      </w:pPr>
      <w:r>
        <w:t>EK-1: BULUŞ BİLDİRİM FORMU</w:t>
      </w:r>
    </w:p>
    <w:tbl>
      <w:tblPr>
        <w:tblStyle w:val="TableGrid"/>
        <w:tblW w:w="8500" w:type="dxa"/>
        <w:tblInd w:w="1584" w:type="dxa"/>
        <w:tblCellMar>
          <w:top w:w="62" w:type="dxa"/>
          <w:left w:w="108" w:type="dxa"/>
          <w:right w:w="48" w:type="dxa"/>
        </w:tblCellMar>
        <w:tblLook w:val="04A0" w:firstRow="1" w:lastRow="0" w:firstColumn="1" w:lastColumn="0" w:noHBand="0" w:noVBand="1"/>
      </w:tblPr>
      <w:tblGrid>
        <w:gridCol w:w="3969"/>
        <w:gridCol w:w="4531"/>
      </w:tblGrid>
      <w:tr w:rsidR="009A3C1A">
        <w:trPr>
          <w:trHeight w:val="424"/>
        </w:trPr>
        <w:tc>
          <w:tcPr>
            <w:tcW w:w="8500" w:type="dxa"/>
            <w:gridSpan w:val="2"/>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60" w:firstLine="0"/>
              <w:jc w:val="center"/>
            </w:pPr>
            <w:r>
              <w:rPr>
                <w:b/>
              </w:rPr>
              <w:t>BULUŞ/BAŞVURU SAHİBİNE AİT İLİŞKİN BİLGİLER</w:t>
            </w:r>
          </w:p>
        </w:tc>
      </w:tr>
      <w:tr w:rsidR="009A3C1A">
        <w:trPr>
          <w:trHeight w:val="838"/>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9A3C1A" w:rsidRDefault="008D2481">
            <w:pPr>
              <w:spacing w:after="0" w:line="259" w:lineRule="auto"/>
              <w:ind w:left="0" w:right="60" w:firstLine="0"/>
            </w:pPr>
            <w:r>
              <w:rPr>
                <w:b/>
                <w:i/>
              </w:rPr>
              <w:lastRenderedPageBreak/>
              <w:t>Buluş sahibi/</w:t>
            </w:r>
            <w:proofErr w:type="gramStart"/>
            <w:r>
              <w:rPr>
                <w:b/>
                <w:i/>
              </w:rPr>
              <w:t>sahiplerinin  adı</w:t>
            </w:r>
            <w:proofErr w:type="gramEnd"/>
            <w:r>
              <w:rPr>
                <w:b/>
                <w:i/>
              </w:rPr>
              <w:t xml:space="preserve"> soyadı/fakülte/bölüm/ABD bilgileri/ telefon numarası / e- posta adresi</w:t>
            </w: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r>
              <w:rPr>
                <w:i/>
              </w:rPr>
              <w:t xml:space="preserve">1. (Baş </w:t>
            </w:r>
            <w:proofErr w:type="spellStart"/>
            <w:r>
              <w:rPr>
                <w:i/>
              </w:rPr>
              <w:t>Buluşcu</w:t>
            </w:r>
            <w:proofErr w:type="spellEnd"/>
            <w:r>
              <w:rPr>
                <w:i/>
              </w:rPr>
              <w:t>)</w:t>
            </w:r>
          </w:p>
        </w:tc>
      </w:tr>
      <w:tr w:rsidR="009A3C1A">
        <w:trPr>
          <w:trHeight w:val="838"/>
        </w:trPr>
        <w:tc>
          <w:tcPr>
            <w:tcW w:w="0" w:type="auto"/>
            <w:vMerge/>
            <w:tcBorders>
              <w:top w:val="nil"/>
              <w:left w:val="single" w:sz="4" w:space="0" w:color="000000"/>
              <w:bottom w:val="nil"/>
              <w:right w:val="single" w:sz="4" w:space="0" w:color="000000"/>
            </w:tcBorders>
          </w:tcPr>
          <w:p w:rsidR="009A3C1A" w:rsidRDefault="009A3C1A">
            <w:pPr>
              <w:spacing w:after="160" w:line="259" w:lineRule="auto"/>
              <w:ind w:left="0" w:right="0" w:firstLine="0"/>
              <w:jc w:val="left"/>
            </w:pP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r>
              <w:rPr>
                <w:i/>
              </w:rPr>
              <w:t>2.</w:t>
            </w:r>
          </w:p>
        </w:tc>
      </w:tr>
      <w:tr w:rsidR="009A3C1A">
        <w:trPr>
          <w:trHeight w:val="838"/>
        </w:trPr>
        <w:tc>
          <w:tcPr>
            <w:tcW w:w="0" w:type="auto"/>
            <w:vMerge/>
            <w:tcBorders>
              <w:top w:val="nil"/>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r>
              <w:rPr>
                <w:i/>
              </w:rPr>
              <w:t>3.</w:t>
            </w:r>
          </w:p>
        </w:tc>
      </w:tr>
      <w:tr w:rsidR="009A3C1A">
        <w:trPr>
          <w:trHeight w:val="838"/>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9A3C1A" w:rsidRDefault="008D2481">
            <w:pPr>
              <w:spacing w:after="0" w:line="363" w:lineRule="auto"/>
              <w:ind w:left="0" w:right="0" w:firstLine="0"/>
              <w:jc w:val="left"/>
            </w:pPr>
            <w:r>
              <w:rPr>
                <w:b/>
                <w:i/>
              </w:rPr>
              <w:t xml:space="preserve">Başvuru </w:t>
            </w:r>
            <w:r>
              <w:rPr>
                <w:b/>
                <w:i/>
              </w:rPr>
              <w:tab/>
              <w:t xml:space="preserve">sahibi/sahiplerinin </w:t>
            </w:r>
            <w:r>
              <w:rPr>
                <w:b/>
                <w:i/>
              </w:rPr>
              <w:tab/>
              <w:t>adı soyadı</w:t>
            </w:r>
          </w:p>
          <w:p w:rsidR="009A3C1A" w:rsidRDefault="008D2481">
            <w:pPr>
              <w:spacing w:after="0" w:line="259" w:lineRule="auto"/>
              <w:ind w:left="0" w:right="60" w:firstLine="0"/>
            </w:pPr>
            <w:r>
              <w:rPr>
                <w:i/>
              </w:rPr>
              <w:t>(Buluş sahibinden farklı olması halinde doldurulacaktır. Başvuru sahibi tüzel kişi ise firma/kurum adını yazınız.)</w:t>
            </w: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r>
              <w:rPr>
                <w:i/>
              </w:rPr>
              <w:t xml:space="preserve">1. (Baş </w:t>
            </w:r>
            <w:proofErr w:type="spellStart"/>
            <w:r>
              <w:rPr>
                <w:i/>
              </w:rPr>
              <w:t>Buluşcu</w:t>
            </w:r>
            <w:proofErr w:type="spellEnd"/>
            <w:r>
              <w:rPr>
                <w:i/>
              </w:rPr>
              <w:t>)</w:t>
            </w:r>
          </w:p>
        </w:tc>
      </w:tr>
      <w:tr w:rsidR="009A3C1A">
        <w:trPr>
          <w:trHeight w:val="838"/>
        </w:trPr>
        <w:tc>
          <w:tcPr>
            <w:tcW w:w="0" w:type="auto"/>
            <w:vMerge/>
            <w:tcBorders>
              <w:top w:val="nil"/>
              <w:left w:val="single" w:sz="4" w:space="0" w:color="000000"/>
              <w:bottom w:val="nil"/>
              <w:right w:val="single" w:sz="4" w:space="0" w:color="000000"/>
            </w:tcBorders>
          </w:tcPr>
          <w:p w:rsidR="009A3C1A" w:rsidRDefault="009A3C1A">
            <w:pPr>
              <w:spacing w:after="160" w:line="259" w:lineRule="auto"/>
              <w:ind w:left="0" w:right="0" w:firstLine="0"/>
              <w:jc w:val="left"/>
            </w:pP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r>
              <w:rPr>
                <w:i/>
              </w:rPr>
              <w:t>2.</w:t>
            </w:r>
          </w:p>
        </w:tc>
      </w:tr>
      <w:tr w:rsidR="009A3C1A">
        <w:trPr>
          <w:trHeight w:val="838"/>
        </w:trPr>
        <w:tc>
          <w:tcPr>
            <w:tcW w:w="0" w:type="auto"/>
            <w:vMerge/>
            <w:tcBorders>
              <w:top w:val="nil"/>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r>
              <w:rPr>
                <w:i/>
              </w:rPr>
              <w:t>3.</w:t>
            </w:r>
          </w:p>
        </w:tc>
      </w:tr>
      <w:tr w:rsidR="009A3C1A">
        <w:trPr>
          <w:trHeight w:val="838"/>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9A3C1A" w:rsidRDefault="008D2481">
            <w:pPr>
              <w:spacing w:after="114" w:line="259" w:lineRule="auto"/>
              <w:ind w:left="0" w:right="0" w:firstLine="0"/>
              <w:jc w:val="left"/>
            </w:pPr>
            <w:r>
              <w:rPr>
                <w:b/>
                <w:i/>
              </w:rPr>
              <w:t>İletişim bilgileri</w:t>
            </w:r>
          </w:p>
          <w:p w:rsidR="009A3C1A" w:rsidRDefault="008D2481">
            <w:pPr>
              <w:spacing w:after="0" w:line="259" w:lineRule="auto"/>
              <w:ind w:left="0" w:right="60" w:firstLine="0"/>
            </w:pPr>
            <w:r>
              <w:rPr>
                <w:i/>
              </w:rPr>
              <w:t>(Tüm yazışma ve görüşmelerde irtibat sağlanacak kişiye (Baş buluşçu) ait iletişim bilgilerini yazınız.)</w:t>
            </w: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r>
              <w:rPr>
                <w:i/>
              </w:rPr>
              <w:t>Adres:</w:t>
            </w:r>
          </w:p>
        </w:tc>
      </w:tr>
      <w:tr w:rsidR="009A3C1A">
        <w:trPr>
          <w:trHeight w:val="838"/>
        </w:trPr>
        <w:tc>
          <w:tcPr>
            <w:tcW w:w="0" w:type="auto"/>
            <w:vMerge/>
            <w:tcBorders>
              <w:top w:val="nil"/>
              <w:left w:val="single" w:sz="4" w:space="0" w:color="000000"/>
              <w:bottom w:val="nil"/>
              <w:right w:val="single" w:sz="4" w:space="0" w:color="000000"/>
            </w:tcBorders>
          </w:tcPr>
          <w:p w:rsidR="009A3C1A" w:rsidRDefault="009A3C1A">
            <w:pPr>
              <w:spacing w:after="160" w:line="259" w:lineRule="auto"/>
              <w:ind w:left="0" w:right="0" w:firstLine="0"/>
              <w:jc w:val="left"/>
            </w:pP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r>
              <w:rPr>
                <w:i/>
              </w:rPr>
              <w:t>Telefon:</w:t>
            </w:r>
          </w:p>
        </w:tc>
      </w:tr>
      <w:tr w:rsidR="009A3C1A">
        <w:trPr>
          <w:trHeight w:val="424"/>
        </w:trPr>
        <w:tc>
          <w:tcPr>
            <w:tcW w:w="0" w:type="auto"/>
            <w:vMerge/>
            <w:tcBorders>
              <w:top w:val="nil"/>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0" w:firstLine="0"/>
              <w:jc w:val="left"/>
            </w:pPr>
            <w:proofErr w:type="gramStart"/>
            <w:r>
              <w:rPr>
                <w:i/>
              </w:rPr>
              <w:t>e</w:t>
            </w:r>
            <w:proofErr w:type="gramEnd"/>
            <w:r>
              <w:rPr>
                <w:i/>
              </w:rPr>
              <w:t>-posta:</w:t>
            </w:r>
          </w:p>
        </w:tc>
      </w:tr>
      <w:tr w:rsidR="009A3C1A">
        <w:trPr>
          <w:trHeight w:val="2080"/>
        </w:trPr>
        <w:tc>
          <w:tcPr>
            <w:tcW w:w="3969" w:type="dxa"/>
            <w:tcBorders>
              <w:top w:val="single" w:sz="4" w:space="0" w:color="000000"/>
              <w:left w:val="single" w:sz="4" w:space="0" w:color="000000"/>
              <w:bottom w:val="single" w:sz="4" w:space="0" w:color="000000"/>
              <w:right w:val="single" w:sz="4" w:space="0" w:color="000000"/>
            </w:tcBorders>
            <w:vAlign w:val="center"/>
          </w:tcPr>
          <w:p w:rsidR="009A3C1A" w:rsidRDefault="008D2481">
            <w:pPr>
              <w:spacing w:after="114" w:line="259" w:lineRule="auto"/>
              <w:ind w:left="0" w:right="0" w:firstLine="0"/>
              <w:jc w:val="left"/>
            </w:pPr>
            <w:r>
              <w:rPr>
                <w:b/>
                <w:i/>
              </w:rPr>
              <w:t>Buluş başlığı:</w:t>
            </w:r>
          </w:p>
          <w:p w:rsidR="009A3C1A" w:rsidRDefault="008D2481">
            <w:pPr>
              <w:spacing w:after="0" w:line="259" w:lineRule="auto"/>
              <w:ind w:left="0" w:right="0" w:firstLine="0"/>
              <w:jc w:val="left"/>
            </w:pPr>
            <w:r>
              <w:rPr>
                <w:i/>
              </w:rPr>
              <w:t xml:space="preserve">(Buluşu </w:t>
            </w:r>
            <w:proofErr w:type="gramStart"/>
            <w:r>
              <w:rPr>
                <w:i/>
              </w:rPr>
              <w:t>kısaca  tanımlayan</w:t>
            </w:r>
            <w:proofErr w:type="gramEnd"/>
            <w:r>
              <w:rPr>
                <w:i/>
              </w:rPr>
              <w:t xml:space="preserve"> başlık kısmıdır. Marka </w:t>
            </w:r>
            <w:proofErr w:type="gramStart"/>
            <w:r>
              <w:rPr>
                <w:i/>
              </w:rPr>
              <w:t>niteliğindeki  terimleri</w:t>
            </w:r>
            <w:proofErr w:type="gramEnd"/>
            <w:r>
              <w:rPr>
                <w:i/>
              </w:rPr>
              <w:t xml:space="preserve"> içerecek şekilde olmamalıdır.)</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r w:rsidR="009A3C1A">
        <w:trPr>
          <w:trHeight w:val="2080"/>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spacing w:after="114" w:line="259" w:lineRule="auto"/>
              <w:ind w:left="0" w:right="0" w:firstLine="0"/>
              <w:jc w:val="left"/>
            </w:pPr>
            <w:r>
              <w:rPr>
                <w:b/>
                <w:i/>
              </w:rPr>
              <w:t>Anahtar kelimeler:</w:t>
            </w:r>
          </w:p>
          <w:p w:rsidR="009A3C1A" w:rsidRDefault="008D2481">
            <w:pPr>
              <w:spacing w:after="0"/>
              <w:ind w:left="0" w:right="60" w:firstLine="0"/>
            </w:pPr>
            <w:r>
              <w:rPr>
                <w:i/>
              </w:rPr>
              <w:t xml:space="preserve">(Buluşu en iyi şekilde ifade ettiğini düşündüğünüz kelime ve kelime öbeklerini yazınız. (Türkçe ve </w:t>
            </w:r>
          </w:p>
          <w:p w:rsidR="009A3C1A" w:rsidRDefault="008D2481">
            <w:pPr>
              <w:spacing w:after="0" w:line="259" w:lineRule="auto"/>
              <w:ind w:left="0" w:right="0" w:firstLine="0"/>
              <w:jc w:val="left"/>
            </w:pPr>
            <w:r>
              <w:rPr>
                <w:i/>
              </w:rPr>
              <w:t>İngilizce))</w:t>
            </w:r>
          </w:p>
        </w:tc>
        <w:tc>
          <w:tcPr>
            <w:tcW w:w="4531" w:type="dxa"/>
            <w:tcBorders>
              <w:top w:val="single" w:sz="4" w:space="0" w:color="000000"/>
              <w:left w:val="single" w:sz="4" w:space="0" w:color="000000"/>
              <w:bottom w:val="single" w:sz="4" w:space="0" w:color="000000"/>
              <w:right w:val="single" w:sz="4" w:space="0" w:color="000000"/>
            </w:tcBorders>
          </w:tcPr>
          <w:p w:rsidR="009A3C1A" w:rsidRDefault="008D2481">
            <w:pPr>
              <w:spacing w:after="528" w:line="259" w:lineRule="auto"/>
              <w:ind w:left="0" w:right="0" w:firstLine="0"/>
              <w:jc w:val="left"/>
            </w:pPr>
            <w:r>
              <w:rPr>
                <w:i/>
              </w:rPr>
              <w:t>Türkçe:</w:t>
            </w:r>
          </w:p>
          <w:p w:rsidR="009A3C1A" w:rsidRDefault="008D2481">
            <w:pPr>
              <w:spacing w:after="0" w:line="259" w:lineRule="auto"/>
              <w:ind w:left="0" w:right="0" w:firstLine="0"/>
              <w:jc w:val="left"/>
            </w:pPr>
            <w:r>
              <w:rPr>
                <w:i/>
              </w:rPr>
              <w:t>İngilizce:</w:t>
            </w:r>
          </w:p>
        </w:tc>
      </w:tr>
    </w:tbl>
    <w:p w:rsidR="009A3C1A" w:rsidRDefault="009A3C1A">
      <w:pPr>
        <w:spacing w:after="0" w:line="259" w:lineRule="auto"/>
        <w:ind w:left="-400" w:right="480" w:firstLine="0"/>
        <w:jc w:val="left"/>
      </w:pPr>
    </w:p>
    <w:tbl>
      <w:tblPr>
        <w:tblStyle w:val="TableGrid"/>
        <w:tblW w:w="8500" w:type="dxa"/>
        <w:tblInd w:w="1584" w:type="dxa"/>
        <w:tblCellMar>
          <w:left w:w="108" w:type="dxa"/>
          <w:right w:w="48" w:type="dxa"/>
        </w:tblCellMar>
        <w:tblLook w:val="04A0" w:firstRow="1" w:lastRow="0" w:firstColumn="1" w:lastColumn="0" w:noHBand="0" w:noVBand="1"/>
      </w:tblPr>
      <w:tblGrid>
        <w:gridCol w:w="3969"/>
        <w:gridCol w:w="4531"/>
      </w:tblGrid>
      <w:tr w:rsidR="009A3C1A">
        <w:trPr>
          <w:trHeight w:val="4564"/>
        </w:trPr>
        <w:tc>
          <w:tcPr>
            <w:tcW w:w="3969" w:type="dxa"/>
            <w:tcBorders>
              <w:top w:val="single" w:sz="4" w:space="0" w:color="000000"/>
              <w:left w:val="single" w:sz="4" w:space="0" w:color="000000"/>
              <w:bottom w:val="single" w:sz="4" w:space="0" w:color="000000"/>
              <w:right w:val="single" w:sz="4" w:space="0" w:color="000000"/>
            </w:tcBorders>
            <w:vAlign w:val="center"/>
          </w:tcPr>
          <w:p w:rsidR="009A3C1A" w:rsidRDefault="008D2481">
            <w:pPr>
              <w:spacing w:after="114" w:line="259" w:lineRule="auto"/>
              <w:ind w:left="0" w:right="0" w:firstLine="0"/>
              <w:jc w:val="left"/>
            </w:pPr>
            <w:r>
              <w:rPr>
                <w:b/>
                <w:i/>
              </w:rPr>
              <w:lastRenderedPageBreak/>
              <w:t>Buluşun ilgili olduğu teknik alan:</w:t>
            </w:r>
          </w:p>
          <w:p w:rsidR="009A3C1A" w:rsidRDefault="008D2481">
            <w:pPr>
              <w:spacing w:after="0" w:line="259" w:lineRule="auto"/>
              <w:ind w:left="0" w:right="60" w:firstLine="0"/>
            </w:pPr>
            <w:r>
              <w:rPr>
                <w:i/>
              </w:rPr>
              <w:t>(Buluşun ne ile ilgili olduğunu hangi ürünle, hangi yöntemle ya da hangi sanayi kolu ile ilgili olduğunu belirtiniz.)</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r w:rsidR="009A3C1A">
        <w:trPr>
          <w:trHeight w:val="4564"/>
        </w:trPr>
        <w:tc>
          <w:tcPr>
            <w:tcW w:w="3969" w:type="dxa"/>
            <w:tcBorders>
              <w:top w:val="single" w:sz="4" w:space="0" w:color="000000"/>
              <w:left w:val="single" w:sz="4" w:space="0" w:color="000000"/>
              <w:bottom w:val="single" w:sz="4" w:space="0" w:color="000000"/>
              <w:right w:val="single" w:sz="4" w:space="0" w:color="000000"/>
            </w:tcBorders>
            <w:vAlign w:val="center"/>
          </w:tcPr>
          <w:p w:rsidR="009A3C1A" w:rsidRDefault="008D2481">
            <w:pPr>
              <w:spacing w:after="114" w:line="259" w:lineRule="auto"/>
              <w:ind w:left="0" w:right="0" w:firstLine="0"/>
              <w:jc w:val="left"/>
            </w:pPr>
            <w:r>
              <w:rPr>
                <w:b/>
                <w:i/>
              </w:rPr>
              <w:t>Önceki teknik bilgi:</w:t>
            </w:r>
          </w:p>
          <w:p w:rsidR="009A3C1A" w:rsidRDefault="008D2481">
            <w:pPr>
              <w:spacing w:after="0" w:line="259" w:lineRule="auto"/>
              <w:ind w:left="0" w:right="60" w:firstLine="0"/>
            </w:pPr>
            <w:r>
              <w:rPr>
                <w:i/>
              </w:rPr>
              <w:t>(Buluş konusunun ilgili olduğu teknik alanda var olan uygulamalar, benzer niteliğe sahip ürünler, biliniyor ise patentler ve diğer yayınları belirtiniz.)</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r w:rsidR="009A3C1A">
        <w:trPr>
          <w:trHeight w:val="3736"/>
        </w:trPr>
        <w:tc>
          <w:tcPr>
            <w:tcW w:w="3969" w:type="dxa"/>
            <w:tcBorders>
              <w:top w:val="single" w:sz="4" w:space="0" w:color="000000"/>
              <w:left w:val="single" w:sz="4" w:space="0" w:color="000000"/>
              <w:bottom w:val="single" w:sz="4" w:space="0" w:color="000000"/>
              <w:right w:val="single" w:sz="4" w:space="0" w:color="000000"/>
            </w:tcBorders>
            <w:vAlign w:val="center"/>
          </w:tcPr>
          <w:p w:rsidR="009A3C1A" w:rsidRDefault="008D2481">
            <w:pPr>
              <w:spacing w:after="0" w:line="259" w:lineRule="auto"/>
              <w:ind w:left="0" w:right="60" w:firstLine="0"/>
            </w:pPr>
            <w:r>
              <w:rPr>
                <w:b/>
                <w:i/>
              </w:rPr>
              <w:t xml:space="preserve">Önceki teknikte saptanan sorunlar: </w:t>
            </w:r>
            <w:r>
              <w:rPr>
                <w:i/>
              </w:rPr>
              <w:t xml:space="preserve">(İlgili </w:t>
            </w:r>
            <w:proofErr w:type="gramStart"/>
            <w:r>
              <w:rPr>
                <w:i/>
              </w:rPr>
              <w:t>buluştan  önceki</w:t>
            </w:r>
            <w:proofErr w:type="gramEnd"/>
            <w:r>
              <w:rPr>
                <w:i/>
              </w:rPr>
              <w:t xml:space="preserve"> uygulamalarda karşılaşılan sorunları açıklayınız.)</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bl>
    <w:p w:rsidR="009A3C1A" w:rsidRDefault="009A3C1A">
      <w:pPr>
        <w:spacing w:after="0" w:line="259" w:lineRule="auto"/>
        <w:ind w:left="-400" w:right="480" w:firstLine="0"/>
        <w:jc w:val="left"/>
      </w:pPr>
    </w:p>
    <w:tbl>
      <w:tblPr>
        <w:tblStyle w:val="TableGrid"/>
        <w:tblW w:w="8500" w:type="dxa"/>
        <w:tblInd w:w="1584" w:type="dxa"/>
        <w:tblCellMar>
          <w:top w:w="67" w:type="dxa"/>
          <w:left w:w="108" w:type="dxa"/>
          <w:right w:w="48" w:type="dxa"/>
        </w:tblCellMar>
        <w:tblLook w:val="04A0" w:firstRow="1" w:lastRow="0" w:firstColumn="1" w:lastColumn="0" w:noHBand="0" w:noVBand="1"/>
      </w:tblPr>
      <w:tblGrid>
        <w:gridCol w:w="3969"/>
        <w:gridCol w:w="4531"/>
      </w:tblGrid>
      <w:tr w:rsidR="009A3C1A">
        <w:trPr>
          <w:trHeight w:val="13257"/>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spacing w:after="114" w:line="259" w:lineRule="auto"/>
              <w:ind w:left="0" w:right="0" w:firstLine="0"/>
              <w:jc w:val="left"/>
            </w:pPr>
            <w:r>
              <w:rPr>
                <w:b/>
                <w:i/>
              </w:rPr>
              <w:lastRenderedPageBreak/>
              <w:t xml:space="preserve">Buluş ile elde </w:t>
            </w:r>
            <w:proofErr w:type="gramStart"/>
            <w:r>
              <w:rPr>
                <w:b/>
                <w:i/>
              </w:rPr>
              <w:t>edilen  avantajlar</w:t>
            </w:r>
            <w:proofErr w:type="gramEnd"/>
            <w:r>
              <w:rPr>
                <w:b/>
                <w:i/>
              </w:rPr>
              <w:t>:</w:t>
            </w:r>
          </w:p>
          <w:p w:rsidR="009A3C1A" w:rsidRDefault="008D2481">
            <w:pPr>
              <w:spacing w:after="0" w:line="259" w:lineRule="auto"/>
              <w:ind w:left="0" w:right="60" w:firstLine="0"/>
            </w:pPr>
            <w:r>
              <w:rPr>
                <w:i/>
              </w:rPr>
              <w:t xml:space="preserve">(Önceki teknikte </w:t>
            </w:r>
            <w:proofErr w:type="gramStart"/>
            <w:r>
              <w:rPr>
                <w:i/>
              </w:rPr>
              <w:t>yer  alan</w:t>
            </w:r>
            <w:proofErr w:type="gramEnd"/>
            <w:r>
              <w:rPr>
                <w:i/>
              </w:rPr>
              <w:t xml:space="preserve"> uygulamalarda karşılaşılan sorunlara karşı buluşun sağladığı avantajları belirtiniz.)</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bl>
    <w:p w:rsidR="009A3C1A" w:rsidRDefault="009A3C1A">
      <w:pPr>
        <w:spacing w:after="0" w:line="259" w:lineRule="auto"/>
        <w:ind w:left="-400" w:right="480" w:firstLine="0"/>
        <w:jc w:val="left"/>
      </w:pPr>
    </w:p>
    <w:tbl>
      <w:tblPr>
        <w:tblStyle w:val="TableGrid"/>
        <w:tblW w:w="8500" w:type="dxa"/>
        <w:tblInd w:w="1584" w:type="dxa"/>
        <w:tblCellMar>
          <w:top w:w="67" w:type="dxa"/>
          <w:left w:w="108" w:type="dxa"/>
        </w:tblCellMar>
        <w:tblLook w:val="04A0" w:firstRow="1" w:lastRow="0" w:firstColumn="1" w:lastColumn="0" w:noHBand="0" w:noVBand="1"/>
      </w:tblPr>
      <w:tblGrid>
        <w:gridCol w:w="3969"/>
        <w:gridCol w:w="4531"/>
      </w:tblGrid>
      <w:tr w:rsidR="009A3C1A">
        <w:trPr>
          <w:trHeight w:val="13257"/>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spacing w:after="0" w:line="363" w:lineRule="auto"/>
              <w:ind w:left="0" w:right="0" w:firstLine="0"/>
              <w:jc w:val="left"/>
            </w:pPr>
            <w:r>
              <w:rPr>
                <w:b/>
                <w:i/>
              </w:rPr>
              <w:lastRenderedPageBreak/>
              <w:t xml:space="preserve">Buluşa </w:t>
            </w:r>
            <w:r>
              <w:rPr>
                <w:b/>
                <w:i/>
              </w:rPr>
              <w:tab/>
              <w:t xml:space="preserve">ilişkin </w:t>
            </w:r>
            <w:r>
              <w:rPr>
                <w:b/>
                <w:i/>
              </w:rPr>
              <w:tab/>
              <w:t xml:space="preserve"> </w:t>
            </w:r>
            <w:r>
              <w:rPr>
                <w:b/>
                <w:i/>
              </w:rPr>
              <w:tab/>
              <w:t xml:space="preserve">ayrıntılı </w:t>
            </w:r>
            <w:r>
              <w:rPr>
                <w:b/>
                <w:i/>
              </w:rPr>
              <w:tab/>
              <w:t>teknik açıklama:</w:t>
            </w:r>
          </w:p>
          <w:p w:rsidR="009A3C1A" w:rsidRDefault="008D2481">
            <w:pPr>
              <w:spacing w:after="0" w:line="259" w:lineRule="auto"/>
              <w:ind w:left="0" w:right="0" w:firstLine="0"/>
              <w:jc w:val="left"/>
            </w:pPr>
            <w:r>
              <w:rPr>
                <w:i/>
              </w:rPr>
              <w:t xml:space="preserve">(Buluşa ilişkin </w:t>
            </w:r>
            <w:proofErr w:type="gramStart"/>
            <w:r>
              <w:rPr>
                <w:i/>
              </w:rPr>
              <w:t>tüm  teknik</w:t>
            </w:r>
            <w:proofErr w:type="gramEnd"/>
            <w:r>
              <w:rPr>
                <w:i/>
              </w:rPr>
              <w:t xml:space="preserve"> özelliklere  ayrıntılı bir biçimde yer verilmelidir. Buluş bir ürün ise bu ürünün tüm parçalarından, </w:t>
            </w:r>
            <w:r>
              <w:rPr>
                <w:i/>
              </w:rPr>
              <w:tab/>
              <w:t xml:space="preserve">bir </w:t>
            </w:r>
            <w:r>
              <w:rPr>
                <w:i/>
              </w:rPr>
              <w:tab/>
              <w:t xml:space="preserve"> </w:t>
            </w:r>
            <w:r>
              <w:rPr>
                <w:i/>
              </w:rPr>
              <w:tab/>
              <w:t xml:space="preserve">yöntem </w:t>
            </w:r>
            <w:r>
              <w:rPr>
                <w:i/>
              </w:rPr>
              <w:tab/>
              <w:t xml:space="preserve">ise yöntemin </w:t>
            </w:r>
            <w:r>
              <w:rPr>
                <w:i/>
              </w:rPr>
              <w:tab/>
              <w:t xml:space="preserve">tüm </w:t>
            </w:r>
            <w:r>
              <w:rPr>
                <w:i/>
              </w:rPr>
              <w:tab/>
              <w:t xml:space="preserve">basamaklarından bahsediniz. </w:t>
            </w:r>
            <w:r>
              <w:rPr>
                <w:i/>
              </w:rPr>
              <w:tab/>
              <w:t xml:space="preserve">Buluşu </w:t>
            </w:r>
            <w:r>
              <w:rPr>
                <w:i/>
              </w:rPr>
              <w:tab/>
              <w:t xml:space="preserve"> </w:t>
            </w:r>
            <w:r>
              <w:rPr>
                <w:i/>
              </w:rPr>
              <w:tab/>
              <w:t xml:space="preserve">oluşturan unsurların </w:t>
            </w:r>
            <w:r>
              <w:rPr>
                <w:i/>
              </w:rPr>
              <w:tab/>
              <w:t xml:space="preserve">her </w:t>
            </w:r>
            <w:r>
              <w:rPr>
                <w:i/>
              </w:rPr>
              <w:tab/>
              <w:t xml:space="preserve"> </w:t>
            </w:r>
            <w:r>
              <w:rPr>
                <w:i/>
              </w:rPr>
              <w:tab/>
              <w:t xml:space="preserve">birinin </w:t>
            </w:r>
            <w:r>
              <w:rPr>
                <w:i/>
              </w:rPr>
              <w:tab/>
            </w:r>
            <w:proofErr w:type="gramStart"/>
            <w:r>
              <w:rPr>
                <w:i/>
              </w:rPr>
              <w:t>işlevini  açıklayınız</w:t>
            </w:r>
            <w:proofErr w:type="gramEnd"/>
            <w:r>
              <w:rPr>
                <w:i/>
              </w:rPr>
              <w:t>.)</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bl>
    <w:p w:rsidR="009A3C1A" w:rsidRDefault="009A3C1A">
      <w:pPr>
        <w:spacing w:after="0" w:line="259" w:lineRule="auto"/>
        <w:ind w:left="-400" w:right="480" w:firstLine="0"/>
        <w:jc w:val="left"/>
      </w:pPr>
    </w:p>
    <w:tbl>
      <w:tblPr>
        <w:tblStyle w:val="TableGrid"/>
        <w:tblW w:w="8500" w:type="dxa"/>
        <w:tblInd w:w="1584" w:type="dxa"/>
        <w:tblCellMar>
          <w:top w:w="67" w:type="dxa"/>
          <w:left w:w="108" w:type="dxa"/>
          <w:right w:w="48" w:type="dxa"/>
        </w:tblCellMar>
        <w:tblLook w:val="04A0" w:firstRow="1" w:lastRow="0" w:firstColumn="1" w:lastColumn="0" w:noHBand="0" w:noVBand="1"/>
      </w:tblPr>
      <w:tblGrid>
        <w:gridCol w:w="8500"/>
      </w:tblGrid>
      <w:tr w:rsidR="009A3C1A">
        <w:trPr>
          <w:trHeight w:val="2494"/>
        </w:trPr>
        <w:tc>
          <w:tcPr>
            <w:tcW w:w="8500" w:type="dxa"/>
            <w:tcBorders>
              <w:top w:val="single" w:sz="4" w:space="0" w:color="000000"/>
              <w:left w:val="single" w:sz="4" w:space="0" w:color="000000"/>
              <w:bottom w:val="single" w:sz="4" w:space="0" w:color="000000"/>
              <w:right w:val="single" w:sz="4" w:space="0" w:color="000000"/>
            </w:tcBorders>
          </w:tcPr>
          <w:p w:rsidR="009A3C1A" w:rsidRDefault="008D2481">
            <w:pPr>
              <w:spacing w:after="114" w:line="259" w:lineRule="auto"/>
              <w:ind w:left="0" w:right="0" w:firstLine="0"/>
              <w:jc w:val="left"/>
            </w:pPr>
            <w:r>
              <w:rPr>
                <w:b/>
                <w:i/>
              </w:rPr>
              <w:t>Teknik çizim veya teknik resimlerin açıklanmasına yönelik şemalar:</w:t>
            </w:r>
          </w:p>
          <w:p w:rsidR="009A3C1A" w:rsidRDefault="008D2481">
            <w:pPr>
              <w:spacing w:after="0" w:line="259" w:lineRule="auto"/>
              <w:ind w:left="0" w:right="60" w:firstLine="0"/>
            </w:pPr>
            <w:r>
              <w:rPr>
                <w:i/>
              </w:rPr>
              <w:t xml:space="preserve">(Buluşa ilişkin ayrıntılı teknik açıklama kısmında yapılan açıklamalarda sözü edilen unsurları içeren teknik resim ve/veya şemalar bu </w:t>
            </w:r>
            <w:proofErr w:type="spellStart"/>
            <w:r>
              <w:rPr>
                <w:i/>
              </w:rPr>
              <w:t>kısıma</w:t>
            </w:r>
            <w:proofErr w:type="spellEnd"/>
            <w:r>
              <w:rPr>
                <w:i/>
              </w:rPr>
              <w:t xml:space="preserve"> eklenmelidir. Şekil/</w:t>
            </w:r>
            <w:proofErr w:type="spellStart"/>
            <w:r>
              <w:rPr>
                <w:i/>
              </w:rPr>
              <w:t>ler</w:t>
            </w:r>
            <w:proofErr w:type="spellEnd"/>
            <w:r>
              <w:rPr>
                <w:i/>
              </w:rPr>
              <w:t xml:space="preserve"> ve şema/</w:t>
            </w:r>
            <w:proofErr w:type="spellStart"/>
            <w:r>
              <w:rPr>
                <w:i/>
              </w:rPr>
              <w:t>larda</w:t>
            </w:r>
            <w:proofErr w:type="spellEnd"/>
            <w:r>
              <w:rPr>
                <w:i/>
              </w:rPr>
              <w:t xml:space="preserve"> yer alan tüm parça ve alanlar şekiller üzerinde gösterilerek adlandırılmalıdır. Bu </w:t>
            </w:r>
            <w:proofErr w:type="spellStart"/>
            <w:r>
              <w:rPr>
                <w:i/>
              </w:rPr>
              <w:t>kısıma</w:t>
            </w:r>
            <w:proofErr w:type="spellEnd"/>
            <w:r>
              <w:rPr>
                <w:i/>
              </w:rPr>
              <w:t xml:space="preserve"> eklenemeyen şekil ve şemaların ayrı bir dosya olarak eklenmesini rica ederiz.)</w:t>
            </w:r>
          </w:p>
        </w:tc>
      </w:tr>
      <w:tr w:rsidR="009A3C1A">
        <w:trPr>
          <w:trHeight w:val="10773"/>
        </w:trPr>
        <w:tc>
          <w:tcPr>
            <w:tcW w:w="8500"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bl>
    <w:p w:rsidR="009A3C1A" w:rsidRDefault="009A3C1A">
      <w:pPr>
        <w:spacing w:after="0" w:line="259" w:lineRule="auto"/>
        <w:ind w:left="-400" w:right="480" w:firstLine="0"/>
        <w:jc w:val="left"/>
      </w:pPr>
    </w:p>
    <w:tbl>
      <w:tblPr>
        <w:tblStyle w:val="TableGrid"/>
        <w:tblW w:w="8500" w:type="dxa"/>
        <w:tblInd w:w="1584" w:type="dxa"/>
        <w:tblCellMar>
          <w:top w:w="67" w:type="dxa"/>
          <w:left w:w="108" w:type="dxa"/>
        </w:tblCellMar>
        <w:tblLook w:val="04A0" w:firstRow="1" w:lastRow="0" w:firstColumn="1" w:lastColumn="0" w:noHBand="0" w:noVBand="1"/>
      </w:tblPr>
      <w:tblGrid>
        <w:gridCol w:w="3969"/>
        <w:gridCol w:w="4531"/>
      </w:tblGrid>
      <w:tr w:rsidR="009A3C1A">
        <w:trPr>
          <w:trHeight w:val="3736"/>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spacing w:after="0"/>
              <w:ind w:left="0" w:right="108" w:firstLine="0"/>
            </w:pPr>
            <w:r>
              <w:rPr>
                <w:b/>
                <w:i/>
              </w:rPr>
              <w:t xml:space="preserve">Buluşun sözlü-yazılı açıklanması, tanıtımı ya da satışı gerçekleşti ise nerede ve ne zaman gerçekleştiği </w:t>
            </w:r>
          </w:p>
          <w:p w:rsidR="009A3C1A" w:rsidRDefault="008D2481">
            <w:pPr>
              <w:spacing w:after="114" w:line="259" w:lineRule="auto"/>
              <w:ind w:left="0" w:right="0" w:firstLine="0"/>
              <w:jc w:val="left"/>
            </w:pPr>
            <w:proofErr w:type="gramStart"/>
            <w:r>
              <w:rPr>
                <w:b/>
                <w:i/>
              </w:rPr>
              <w:t>bilgisi</w:t>
            </w:r>
            <w:proofErr w:type="gramEnd"/>
            <w:r>
              <w:rPr>
                <w:b/>
                <w:i/>
              </w:rPr>
              <w:t>:</w:t>
            </w:r>
          </w:p>
          <w:p w:rsidR="009A3C1A" w:rsidRDefault="008D2481">
            <w:pPr>
              <w:spacing w:after="0" w:line="259" w:lineRule="auto"/>
              <w:ind w:left="0" w:right="0" w:firstLine="0"/>
              <w:jc w:val="left"/>
            </w:pPr>
            <w:r>
              <w:rPr>
                <w:i/>
              </w:rPr>
              <w:t xml:space="preserve">(Yayınlanan makaleler için lütfen </w:t>
            </w:r>
            <w:proofErr w:type="gramStart"/>
            <w:r>
              <w:rPr>
                <w:i/>
              </w:rPr>
              <w:t>link  veriniz</w:t>
            </w:r>
            <w:proofErr w:type="gramEnd"/>
            <w:r>
              <w:rPr>
                <w:i/>
              </w:rPr>
              <w:t>.)</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r w:rsidR="009A3C1A">
        <w:trPr>
          <w:trHeight w:val="3322"/>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spacing w:after="0" w:line="259" w:lineRule="auto"/>
              <w:ind w:left="0" w:right="108" w:firstLine="0"/>
            </w:pPr>
            <w:r>
              <w:rPr>
                <w:b/>
                <w:i/>
              </w:rPr>
              <w:lastRenderedPageBreak/>
              <w:t xml:space="preserve">Buluşun daha önce makale olarak yayınlanıp yayınlanmadığı bilgisi: </w:t>
            </w:r>
            <w:r>
              <w:rPr>
                <w:i/>
              </w:rPr>
              <w:t>(Varsa makale DOİ numarası veya link veriniz.)</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r w:rsidR="009A3C1A">
        <w:trPr>
          <w:trHeight w:val="3736"/>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spacing w:after="147" w:line="259" w:lineRule="auto"/>
              <w:ind w:left="0" w:right="0" w:firstLine="0"/>
              <w:jc w:val="left"/>
            </w:pPr>
            <w:r>
              <w:rPr>
                <w:b/>
                <w:i/>
              </w:rPr>
              <w:t xml:space="preserve">Buluşun korunması istenilen ülkeler </w:t>
            </w:r>
          </w:p>
          <w:p w:rsidR="009A3C1A" w:rsidRDefault="008D2481">
            <w:pPr>
              <w:tabs>
                <w:tab w:val="center" w:pos="534"/>
                <w:tab w:val="center" w:pos="1937"/>
                <w:tab w:val="center" w:pos="3280"/>
              </w:tabs>
              <w:spacing w:after="120" w:line="259" w:lineRule="auto"/>
              <w:ind w:left="0" w:right="0" w:firstLine="0"/>
              <w:jc w:val="left"/>
            </w:pPr>
            <w:r>
              <w:rPr>
                <w:rFonts w:ascii="Calibri" w:eastAsia="Calibri" w:hAnsi="Calibri" w:cs="Calibri"/>
                <w:sz w:val="22"/>
              </w:rPr>
              <w:tab/>
            </w:r>
            <w:proofErr w:type="gramStart"/>
            <w:r>
              <w:rPr>
                <w:b/>
                <w:i/>
              </w:rPr>
              <w:t>anlamında</w:t>
            </w:r>
            <w:proofErr w:type="gramEnd"/>
            <w:r>
              <w:rPr>
                <w:b/>
                <w:i/>
              </w:rPr>
              <w:t xml:space="preserve"> </w:t>
            </w:r>
            <w:r>
              <w:rPr>
                <w:b/>
                <w:i/>
              </w:rPr>
              <w:tab/>
              <w:t xml:space="preserve">başvuru </w:t>
            </w:r>
            <w:r>
              <w:rPr>
                <w:b/>
                <w:i/>
              </w:rPr>
              <w:tab/>
              <w:t xml:space="preserve">yapılması </w:t>
            </w:r>
          </w:p>
          <w:p w:rsidR="009A3C1A" w:rsidRDefault="008D2481">
            <w:pPr>
              <w:spacing w:after="114" w:line="259" w:lineRule="auto"/>
              <w:ind w:left="0" w:right="0" w:firstLine="0"/>
              <w:jc w:val="left"/>
            </w:pPr>
            <w:proofErr w:type="gramStart"/>
            <w:r>
              <w:rPr>
                <w:b/>
                <w:i/>
              </w:rPr>
              <w:t>planlanan</w:t>
            </w:r>
            <w:proofErr w:type="gramEnd"/>
            <w:r>
              <w:rPr>
                <w:b/>
                <w:i/>
              </w:rPr>
              <w:t xml:space="preserve"> ülke/sistem:</w:t>
            </w:r>
          </w:p>
          <w:p w:rsidR="009A3C1A" w:rsidRDefault="008D2481">
            <w:pPr>
              <w:spacing w:after="0"/>
              <w:ind w:left="0" w:right="108" w:firstLine="0"/>
            </w:pPr>
            <w:r>
              <w:rPr>
                <w:i/>
              </w:rPr>
              <w:t xml:space="preserve">(Başvuru sadece Türkiye’de yapılabileceği gibi PCT (uluslararası başvuru), EP (Avrupa Patent </w:t>
            </w:r>
          </w:p>
          <w:p w:rsidR="009A3C1A" w:rsidRDefault="008D2481">
            <w:pPr>
              <w:spacing w:after="0" w:line="259" w:lineRule="auto"/>
              <w:ind w:left="0" w:right="108" w:firstLine="0"/>
            </w:pPr>
            <w:r>
              <w:rPr>
                <w:i/>
              </w:rPr>
              <w:t>Başvurusu) sistemleri ve/veya diğer ülkelerde ulusal başvurular şeklinde yapılabilir.)</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r w:rsidR="009A3C1A">
        <w:trPr>
          <w:trHeight w:val="2908"/>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spacing w:after="114" w:line="259" w:lineRule="auto"/>
              <w:ind w:left="0" w:right="0" w:firstLine="0"/>
              <w:jc w:val="left"/>
            </w:pPr>
            <w:r>
              <w:rPr>
                <w:b/>
                <w:i/>
              </w:rPr>
              <w:t xml:space="preserve">Buluşun sanayiye uygulanabilirliği </w:t>
            </w:r>
          </w:p>
          <w:p w:rsidR="009A3C1A" w:rsidRDefault="008D2481">
            <w:pPr>
              <w:spacing w:after="0" w:line="259" w:lineRule="auto"/>
              <w:ind w:left="0" w:right="0" w:firstLine="0"/>
              <w:jc w:val="left"/>
            </w:pPr>
            <w:proofErr w:type="gramStart"/>
            <w:r>
              <w:rPr>
                <w:b/>
                <w:i/>
              </w:rPr>
              <w:t>bilgisi</w:t>
            </w:r>
            <w:proofErr w:type="gramEnd"/>
            <w:r>
              <w:rPr>
                <w:b/>
                <w:i/>
              </w:rPr>
              <w:t>:</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bl>
    <w:p w:rsidR="009A3C1A" w:rsidRDefault="009A3C1A">
      <w:pPr>
        <w:spacing w:after="0" w:line="259" w:lineRule="auto"/>
        <w:ind w:left="-400" w:right="480" w:firstLine="0"/>
        <w:jc w:val="left"/>
      </w:pPr>
    </w:p>
    <w:tbl>
      <w:tblPr>
        <w:tblStyle w:val="TableGrid"/>
        <w:tblW w:w="8500" w:type="dxa"/>
        <w:tblInd w:w="1584" w:type="dxa"/>
        <w:tblCellMar>
          <w:top w:w="67" w:type="dxa"/>
          <w:left w:w="108" w:type="dxa"/>
          <w:right w:w="48" w:type="dxa"/>
        </w:tblCellMar>
        <w:tblLook w:val="04A0" w:firstRow="1" w:lastRow="0" w:firstColumn="1" w:lastColumn="0" w:noHBand="0" w:noVBand="1"/>
      </w:tblPr>
      <w:tblGrid>
        <w:gridCol w:w="3969"/>
        <w:gridCol w:w="4531"/>
      </w:tblGrid>
      <w:tr w:rsidR="009A3C1A">
        <w:trPr>
          <w:trHeight w:val="3736"/>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tabs>
                <w:tab w:val="center" w:pos="354"/>
                <w:tab w:val="center" w:pos="1187"/>
                <w:tab w:val="center" w:pos="2027"/>
                <w:tab w:val="center" w:pos="3200"/>
              </w:tabs>
              <w:spacing w:after="153" w:line="259" w:lineRule="auto"/>
              <w:ind w:left="0" w:right="0" w:firstLine="0"/>
              <w:jc w:val="left"/>
            </w:pPr>
            <w:r>
              <w:rPr>
                <w:rFonts w:ascii="Calibri" w:eastAsia="Calibri" w:hAnsi="Calibri" w:cs="Calibri"/>
                <w:sz w:val="22"/>
              </w:rPr>
              <w:tab/>
            </w:r>
            <w:r>
              <w:rPr>
                <w:b/>
                <w:i/>
              </w:rPr>
              <w:t xml:space="preserve">Buluşa </w:t>
            </w:r>
            <w:r>
              <w:rPr>
                <w:b/>
                <w:i/>
              </w:rPr>
              <w:tab/>
              <w:t xml:space="preserve">veya </w:t>
            </w:r>
            <w:r>
              <w:rPr>
                <w:b/>
                <w:i/>
              </w:rPr>
              <w:tab/>
              <w:t xml:space="preserve">projeye </w:t>
            </w:r>
            <w:r>
              <w:rPr>
                <w:b/>
                <w:i/>
              </w:rPr>
              <w:tab/>
              <w:t xml:space="preserve">geliştirilme </w:t>
            </w:r>
          </w:p>
          <w:p w:rsidR="009A3C1A" w:rsidRDefault="008D2481">
            <w:pPr>
              <w:tabs>
                <w:tab w:val="center" w:pos="587"/>
                <w:tab w:val="center" w:pos="3299"/>
              </w:tabs>
              <w:spacing w:after="120" w:line="259" w:lineRule="auto"/>
              <w:ind w:left="0" w:right="0" w:firstLine="0"/>
              <w:jc w:val="left"/>
            </w:pPr>
            <w:r>
              <w:rPr>
                <w:rFonts w:ascii="Calibri" w:eastAsia="Calibri" w:hAnsi="Calibri" w:cs="Calibri"/>
                <w:sz w:val="22"/>
              </w:rPr>
              <w:tab/>
            </w:r>
            <w:proofErr w:type="gramStart"/>
            <w:r>
              <w:rPr>
                <w:b/>
                <w:i/>
              </w:rPr>
              <w:t>aşamasında</w:t>
            </w:r>
            <w:proofErr w:type="gramEnd"/>
            <w:r>
              <w:rPr>
                <w:b/>
                <w:i/>
              </w:rPr>
              <w:t xml:space="preserve"> </w:t>
            </w:r>
            <w:r>
              <w:rPr>
                <w:b/>
                <w:i/>
              </w:rPr>
              <w:tab/>
              <w:t xml:space="preserve">sağlanan </w:t>
            </w:r>
          </w:p>
          <w:p w:rsidR="009A3C1A" w:rsidRDefault="008D2481">
            <w:pPr>
              <w:spacing w:after="114" w:line="259" w:lineRule="auto"/>
              <w:ind w:left="0" w:right="0" w:firstLine="0"/>
              <w:jc w:val="left"/>
            </w:pPr>
            <w:proofErr w:type="gramStart"/>
            <w:r>
              <w:rPr>
                <w:b/>
                <w:i/>
              </w:rPr>
              <w:t>hibe</w:t>
            </w:r>
            <w:proofErr w:type="gramEnd"/>
            <w:r>
              <w:rPr>
                <w:b/>
                <w:i/>
              </w:rPr>
              <w:t>/destek/kaynak/teşvik bilgisi:</w:t>
            </w:r>
          </w:p>
          <w:p w:rsidR="009A3C1A" w:rsidRDefault="008D2481">
            <w:pPr>
              <w:spacing w:after="0" w:line="259" w:lineRule="auto"/>
              <w:ind w:left="0" w:right="0" w:firstLine="0"/>
              <w:jc w:val="left"/>
            </w:pPr>
            <w:r>
              <w:rPr>
                <w:i/>
              </w:rPr>
              <w:t>(Örneğin: TÜBİTAK, BAP, KOSGEB)</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r w:rsidR="009A3C1A">
        <w:trPr>
          <w:trHeight w:val="3322"/>
        </w:trPr>
        <w:tc>
          <w:tcPr>
            <w:tcW w:w="3969" w:type="dxa"/>
            <w:tcBorders>
              <w:top w:val="single" w:sz="4" w:space="0" w:color="000000"/>
              <w:left w:val="single" w:sz="4" w:space="0" w:color="000000"/>
              <w:bottom w:val="single" w:sz="4" w:space="0" w:color="000000"/>
              <w:right w:val="single" w:sz="4" w:space="0" w:color="000000"/>
            </w:tcBorders>
          </w:tcPr>
          <w:p w:rsidR="009A3C1A" w:rsidRDefault="008D2481">
            <w:pPr>
              <w:spacing w:after="114" w:line="259" w:lineRule="auto"/>
              <w:ind w:left="0" w:right="0" w:firstLine="0"/>
              <w:jc w:val="left"/>
            </w:pPr>
            <w:r>
              <w:rPr>
                <w:b/>
                <w:i/>
              </w:rPr>
              <w:lastRenderedPageBreak/>
              <w:t xml:space="preserve">Buluşa ait patentin proje başvuru </w:t>
            </w:r>
          </w:p>
          <w:p w:rsidR="009A3C1A" w:rsidRDefault="008D2481">
            <w:pPr>
              <w:spacing w:after="114" w:line="259" w:lineRule="auto"/>
              <w:ind w:left="0" w:right="0" w:firstLine="0"/>
              <w:jc w:val="left"/>
            </w:pPr>
            <w:proofErr w:type="gramStart"/>
            <w:r>
              <w:rPr>
                <w:b/>
                <w:i/>
              </w:rPr>
              <w:t>bilgisi</w:t>
            </w:r>
            <w:proofErr w:type="gramEnd"/>
            <w:r>
              <w:rPr>
                <w:b/>
                <w:i/>
              </w:rPr>
              <w:t>:</w:t>
            </w:r>
          </w:p>
          <w:p w:rsidR="009A3C1A" w:rsidRDefault="008D2481">
            <w:pPr>
              <w:spacing w:after="0" w:line="259" w:lineRule="auto"/>
              <w:ind w:left="0" w:right="60" w:firstLine="0"/>
            </w:pPr>
            <w:r>
              <w:rPr>
                <w:i/>
              </w:rPr>
              <w:t xml:space="preserve">(Döner sermaye, BAP, </w:t>
            </w:r>
            <w:proofErr w:type="spellStart"/>
            <w:r>
              <w:rPr>
                <w:i/>
              </w:rPr>
              <w:t>uluslarası</w:t>
            </w:r>
            <w:proofErr w:type="spellEnd"/>
            <w:r>
              <w:rPr>
                <w:i/>
              </w:rPr>
              <w:t xml:space="preserve"> proje, kamu projeleri (TÜBİTAK, KOSGEB ve diğer), araştırma amaçlı yurtdışı görevlendirme TEKNOPARK şirketi)</w:t>
            </w:r>
          </w:p>
        </w:tc>
        <w:tc>
          <w:tcPr>
            <w:tcW w:w="4531" w:type="dxa"/>
            <w:tcBorders>
              <w:top w:val="single" w:sz="4" w:space="0" w:color="000000"/>
              <w:left w:val="single" w:sz="4" w:space="0" w:color="000000"/>
              <w:bottom w:val="single" w:sz="4" w:space="0" w:color="000000"/>
              <w:right w:val="single" w:sz="4" w:space="0" w:color="000000"/>
            </w:tcBorders>
          </w:tcPr>
          <w:p w:rsidR="009A3C1A" w:rsidRDefault="009A3C1A">
            <w:pPr>
              <w:spacing w:after="160" w:line="259" w:lineRule="auto"/>
              <w:ind w:left="0" w:right="0" w:firstLine="0"/>
              <w:jc w:val="left"/>
            </w:pPr>
          </w:p>
        </w:tc>
      </w:tr>
    </w:tbl>
    <w:p w:rsidR="008D2481" w:rsidRDefault="008D2481"/>
    <w:sectPr w:rsidR="008D2481">
      <w:footerReference w:type="even" r:id="rId7"/>
      <w:footerReference w:type="default" r:id="rId8"/>
      <w:footerReference w:type="first" r:id="rId9"/>
      <w:pgSz w:w="11906" w:h="16838"/>
      <w:pgMar w:top="212" w:right="942" w:bottom="269" w:left="400" w:header="708" w:footer="80"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3D" w:rsidRDefault="00B4403D">
      <w:pPr>
        <w:spacing w:after="0" w:line="240" w:lineRule="auto"/>
      </w:pPr>
      <w:r>
        <w:separator/>
      </w:r>
    </w:p>
  </w:endnote>
  <w:endnote w:type="continuationSeparator" w:id="0">
    <w:p w:rsidR="00B4403D" w:rsidRDefault="00B4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1A" w:rsidRDefault="008D2481">
    <w:pPr>
      <w:spacing w:after="627" w:line="259" w:lineRule="auto"/>
      <w:ind w:left="542" w:right="0" w:firstLine="0"/>
      <w:jc w:val="center"/>
    </w:pPr>
    <w:r>
      <w:fldChar w:fldCharType="begin"/>
    </w:r>
    <w:r>
      <w:instrText xml:space="preserve"> PAGE   \* MERGEFORMAT </w:instrText>
    </w:r>
    <w:r>
      <w:fldChar w:fldCharType="separate"/>
    </w:r>
    <w:r>
      <w:rPr>
        <w:sz w:val="22"/>
      </w:rPr>
      <w:t>2</w:t>
    </w:r>
    <w:r>
      <w:rPr>
        <w:sz w:val="22"/>
      </w:rPr>
      <w:fldChar w:fldCharType="end"/>
    </w:r>
  </w:p>
  <w:p w:rsidR="009A3C1A" w:rsidRDefault="008D2481">
    <w:pPr>
      <w:spacing w:after="0" w:line="259" w:lineRule="auto"/>
      <w:ind w:left="-200" w:right="0" w:firstLine="0"/>
      <w:jc w:val="left"/>
    </w:pPr>
    <w:r>
      <w:rPr>
        <w:rFonts w:ascii="Arial" w:eastAsia="Arial" w:hAnsi="Arial" w:cs="Arial"/>
        <w:b/>
        <w:color w:val="A9A9A9"/>
        <w:sz w:val="20"/>
      </w:rPr>
      <w:t>Bu belge 5070 sayılı Elektronik İmza Kanununun Göre Güvenli Elektronik İmza ile İmzalanmıştır.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1A" w:rsidRDefault="009A3C1A">
    <w:pPr>
      <w:spacing w:after="0" w:line="259" w:lineRule="auto"/>
      <w:ind w:left="-20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1A" w:rsidRDefault="009A3C1A" w:rsidP="00F8576F">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3D" w:rsidRDefault="00B4403D">
      <w:pPr>
        <w:spacing w:after="0" w:line="240" w:lineRule="auto"/>
      </w:pPr>
      <w:r>
        <w:separator/>
      </w:r>
    </w:p>
  </w:footnote>
  <w:footnote w:type="continuationSeparator" w:id="0">
    <w:p w:rsidR="00B4403D" w:rsidRDefault="00B44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F95"/>
    <w:multiLevelType w:val="hybridMultilevel"/>
    <w:tmpl w:val="EFE25E10"/>
    <w:lvl w:ilvl="0" w:tplc="14EE6DAA">
      <w:start w:val="1"/>
      <w:numFmt w:val="lowerLetter"/>
      <w:lvlText w:val="%1)"/>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20E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6CD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684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ABC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66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61D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081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EDF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2D1636"/>
    <w:multiLevelType w:val="hybridMultilevel"/>
    <w:tmpl w:val="7C401888"/>
    <w:lvl w:ilvl="0" w:tplc="63A8BCBE">
      <w:start w:val="1"/>
      <w:numFmt w:val="lowerLetter"/>
      <w:lvlText w:val="%1)"/>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4A6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8A0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EE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46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092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EF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6BF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67E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2952C9"/>
    <w:multiLevelType w:val="hybridMultilevel"/>
    <w:tmpl w:val="4628DAB4"/>
    <w:lvl w:ilvl="0" w:tplc="A6963574">
      <w:start w:val="1"/>
      <w:numFmt w:val="lowerLetter"/>
      <w:lvlText w:val="%1)"/>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012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AF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63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E19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6F7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A9A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8B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C3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B272A9"/>
    <w:multiLevelType w:val="hybridMultilevel"/>
    <w:tmpl w:val="2ADA6BDC"/>
    <w:lvl w:ilvl="0" w:tplc="7404538E">
      <w:start w:val="9"/>
      <w:numFmt w:val="lowerLetter"/>
      <w:lvlText w:val="%1)"/>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A49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A94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86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6A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C16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C2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8A9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031DB3"/>
    <w:multiLevelType w:val="hybridMultilevel"/>
    <w:tmpl w:val="31E8FD1E"/>
    <w:lvl w:ilvl="0" w:tplc="336ABAE8">
      <w:start w:val="2"/>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E45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0C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8BA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81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883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27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0B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60C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7D12AF"/>
    <w:multiLevelType w:val="hybridMultilevel"/>
    <w:tmpl w:val="CB0C0B48"/>
    <w:lvl w:ilvl="0" w:tplc="3674581A">
      <w:start w:val="15"/>
      <w:numFmt w:val="lowerLetter"/>
      <w:lvlText w:val="%1)"/>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0C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A13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44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2B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A7A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464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6DD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43F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1A"/>
    <w:rsid w:val="000713E3"/>
    <w:rsid w:val="00134B63"/>
    <w:rsid w:val="00274912"/>
    <w:rsid w:val="002B0520"/>
    <w:rsid w:val="006E3E2E"/>
    <w:rsid w:val="0082123F"/>
    <w:rsid w:val="008D2481"/>
    <w:rsid w:val="009A3C1A"/>
    <w:rsid w:val="00A03AD6"/>
    <w:rsid w:val="00B4403D"/>
    <w:rsid w:val="00D1059D"/>
    <w:rsid w:val="00F857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FC992"/>
  <w15:docId w15:val="{44A32F05-7DBB-4426-AB58-3BDBEAEF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7" w:lineRule="auto"/>
      <w:ind w:left="1453" w:right="1603"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80"/>
      <w:ind w:left="890"/>
      <w:jc w:val="right"/>
      <w:outlineLvl w:val="0"/>
    </w:pPr>
    <w:rPr>
      <w:rFonts w:ascii="Times New Roman" w:eastAsia="Times New Roman" w:hAnsi="Times New Roman" w:cs="Times New Roman"/>
      <w:color w:val="000000"/>
      <w:sz w:val="24"/>
    </w:rPr>
  </w:style>
  <w:style w:type="paragraph" w:styleId="Balk2">
    <w:name w:val="heading 2"/>
    <w:next w:val="Normal"/>
    <w:link w:val="Balk2Char"/>
    <w:uiPriority w:val="9"/>
    <w:unhideWhenUsed/>
    <w:qFormat/>
    <w:pPr>
      <w:keepNext/>
      <w:keepLines/>
      <w:spacing w:after="108" w:line="265" w:lineRule="auto"/>
      <w:ind w:left="2762"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F857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576F"/>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105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059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2029</Words>
  <Characters>11566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Fikri ve Sınai Mülkiyet Hakları Yönergesi</dc:subject>
  <dc:creator>enVision Document &amp; Workflow Management System</dc:creator>
  <cp:keywords/>
  <cp:lastModifiedBy>İnci KIRAT</cp:lastModifiedBy>
  <cp:revision>4</cp:revision>
  <dcterms:created xsi:type="dcterms:W3CDTF">2025-07-24T10:28:00Z</dcterms:created>
  <dcterms:modified xsi:type="dcterms:W3CDTF">2025-07-28T11:01:00Z</dcterms:modified>
</cp:coreProperties>
</file>