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4ED3" w14:textId="39B23B52" w:rsidR="00AB2C7C" w:rsidRDefault="005C5DC8">
      <w:pPr>
        <w:pStyle w:val="Gvdemetni0"/>
        <w:spacing w:after="800" w:line="276" w:lineRule="auto"/>
        <w:jc w:val="center"/>
      </w:pPr>
      <w:bookmarkStart w:id="0" w:name="_GoBack"/>
      <w:bookmarkEnd w:id="0"/>
      <w:r>
        <w:rPr>
          <w:b/>
          <w:bCs/>
        </w:rPr>
        <w:t>OSMANİYE KORKUT ATA ÜNİVERSİTESİ ÖN LİSANS VE LİSANS</w:t>
      </w:r>
      <w:r>
        <w:rPr>
          <w:b/>
          <w:bCs/>
        </w:rPr>
        <w:br/>
        <w:t>ÖĞRENCİLERİNE 2547 SAYILI YÜKSEKÖĞRETİM KANUNUN 44. MADDESİ</w:t>
      </w:r>
      <w:r>
        <w:rPr>
          <w:b/>
          <w:bCs/>
        </w:rPr>
        <w:br/>
        <w:t>GEREĞİNCE AZAMİ ÖĞRENİM SÜRELERİ SONUNDA VERİLECEK SINAV</w:t>
      </w:r>
      <w:r>
        <w:rPr>
          <w:b/>
          <w:bCs/>
        </w:rPr>
        <w:br/>
        <w:t>HAKLARI VE EK SÜRELERE DAİR UYGULAMA ESASLARI</w:t>
      </w:r>
    </w:p>
    <w:p w14:paraId="5D02C499" w14:textId="1A66E929" w:rsidR="00AB2C7C" w:rsidRDefault="005C5DC8" w:rsidP="002D3F1B">
      <w:pPr>
        <w:pStyle w:val="Gvdemetni0"/>
        <w:spacing w:after="480"/>
        <w:ind w:left="1200" w:firstLine="216"/>
        <w:jc w:val="both"/>
      </w:pPr>
      <w:r>
        <w:t xml:space="preserve">Öğrencilerin, bir yıl süreli hazırlık sınıfı süresi ile kayıt dondurduğu dönemler hariç olmak üzere her dönem için kayıt yaptırıp yaptırmadıklarına bakılmaksızın derslerin verildiği dönemden başlamak üzere öğrenim süresi iki yıl olan diploma programlarının azami öğrenim süresi dört yıl, öğrenim süresi dört yıl olan diploma programlarının azami öğrenim süresi yedi yıl, öğrenim süresi altı yıl olan diploma programlarının azami öğrenim süresi (ek süreler hariç) dokuz yıldır. Azami süre sonunda başarısız olan öğrencilere 2547 Sayılı Kanunun </w:t>
      </w:r>
      <w:r w:rsidR="00AB6AD4">
        <w:t>44’üncü</w:t>
      </w:r>
      <w:r>
        <w:t xml:space="preserve"> madde</w:t>
      </w:r>
      <w:r w:rsidR="00AB6AD4">
        <w:t>si</w:t>
      </w:r>
      <w:r>
        <w:t>nin (c) bendi kapsamında verilecek ek süre sınavlarıyla ilgili olarak;</w:t>
      </w:r>
    </w:p>
    <w:p w14:paraId="4E3D1A84" w14:textId="4A37E9FE" w:rsidR="00AB2C7C" w:rsidRDefault="005C5DC8">
      <w:pPr>
        <w:pStyle w:val="Gvdemetni0"/>
        <w:numPr>
          <w:ilvl w:val="0"/>
          <w:numId w:val="1"/>
        </w:numPr>
        <w:tabs>
          <w:tab w:val="left" w:pos="1581"/>
        </w:tabs>
        <w:spacing w:line="276" w:lineRule="auto"/>
        <w:ind w:left="1200"/>
        <w:jc w:val="both"/>
      </w:pPr>
      <w:r>
        <w:t xml:space="preserve">Azami öğrenim süresi sonunda mezun olamayan son sınıf öğrencilerine, devam koşulunu </w:t>
      </w:r>
      <w:r w:rsidR="000525C6">
        <w:t xml:space="preserve">       </w:t>
      </w:r>
      <w:r>
        <w:t>sağlayıp sağlamadıklarına bakılmaksızın başarısız oldukları ve/veya almadıkları tüm dersler için iki ek sınav hakkı verilir.</w:t>
      </w:r>
    </w:p>
    <w:p w14:paraId="192F1A3D" w14:textId="4952F589" w:rsidR="00AB2C7C" w:rsidRDefault="005C5DC8">
      <w:pPr>
        <w:pStyle w:val="Gvdemetni0"/>
        <w:numPr>
          <w:ilvl w:val="0"/>
          <w:numId w:val="1"/>
        </w:numPr>
        <w:tabs>
          <w:tab w:val="left" w:pos="1542"/>
        </w:tabs>
        <w:ind w:left="1580" w:hanging="380"/>
        <w:jc w:val="both"/>
      </w:pPr>
      <w:r>
        <w:t>Azami öğrenim süresi sonunda, ek sınav hakkı kullanacak öğrenciler, akademik takvimde belirtilen tarihlerde, akademik birimler tarafından ilan edilen ek sınav takvimi çerçevesinde ek sınav haklarını kullanırlar.</w:t>
      </w:r>
    </w:p>
    <w:p w14:paraId="3F0E594C" w14:textId="77777777" w:rsidR="00AB2C7C" w:rsidRDefault="005C5DC8">
      <w:pPr>
        <w:pStyle w:val="Gvdemetni0"/>
        <w:numPr>
          <w:ilvl w:val="0"/>
          <w:numId w:val="1"/>
        </w:numPr>
        <w:tabs>
          <w:tab w:val="left" w:pos="1537"/>
        </w:tabs>
        <w:spacing w:line="276" w:lineRule="auto"/>
        <w:ind w:left="1580" w:hanging="380"/>
        <w:jc w:val="both"/>
      </w:pPr>
      <w:r>
        <w:t>Azami öğrenim süresi dolan öğrenciler için ek sınav haklarının kullandırılmasında, eğitim ve öğretimin niteliği itibari ile uygulama yaptırılması sureti ile değerlendirilmesi gereken derslerde uygulama yaptırılır.</w:t>
      </w:r>
    </w:p>
    <w:p w14:paraId="248488DC" w14:textId="77777777" w:rsidR="00AB2C7C" w:rsidRDefault="005C5DC8">
      <w:pPr>
        <w:pStyle w:val="Gvdemetni0"/>
        <w:numPr>
          <w:ilvl w:val="0"/>
          <w:numId w:val="1"/>
        </w:numPr>
        <w:tabs>
          <w:tab w:val="left" w:pos="1542"/>
        </w:tabs>
        <w:spacing w:line="276" w:lineRule="auto"/>
        <w:ind w:left="1580" w:hanging="380"/>
        <w:jc w:val="both"/>
      </w:pPr>
      <w:r>
        <w:t>İki ek sınav sonucunda, ek sınav haklarını kullanıp kullanılmadığına bakılmaksızın başarısız olduğu ve/veya almadığı ders sayısını beş ve daha az derse indiremeyen öğrencilerin Üniversite ile ilişiği kesilir.</w:t>
      </w:r>
    </w:p>
    <w:p w14:paraId="01EBEEE6" w14:textId="42F11457" w:rsidR="004D3180" w:rsidRPr="008700CB" w:rsidRDefault="005C5DC8" w:rsidP="004D3180">
      <w:pPr>
        <w:pStyle w:val="Gvdemetni0"/>
        <w:numPr>
          <w:ilvl w:val="0"/>
          <w:numId w:val="1"/>
        </w:numPr>
        <w:tabs>
          <w:tab w:val="left" w:pos="1533"/>
        </w:tabs>
        <w:spacing w:line="276" w:lineRule="auto"/>
        <w:ind w:left="1580" w:hanging="380"/>
        <w:jc w:val="both"/>
        <w:rPr>
          <w:color w:val="auto"/>
        </w:rPr>
      </w:pPr>
      <w:r w:rsidRPr="008700CB">
        <w:rPr>
          <w:color w:val="auto"/>
        </w:rPr>
        <w:t>Ek sınav hak</w:t>
      </w:r>
      <w:r w:rsidR="008700CB" w:rsidRPr="008700CB">
        <w:rPr>
          <w:color w:val="auto"/>
        </w:rPr>
        <w:t>larını</w:t>
      </w:r>
      <w:r w:rsidRPr="008700CB">
        <w:rPr>
          <w:color w:val="auto"/>
        </w:rPr>
        <w:t xml:space="preserve"> kullanmadan, kayıtlı olduğu programdaki başarısız olduğu ve/veya almadığı ders sayısı beş veya beşten daha az olan öğrencilere dört yarıyıl, öğrencilik haklarından faydalanmaksızın başarısız oldukları ve/veya almadıkları derslerin sınavlarına girme hakkı verilir.</w:t>
      </w:r>
      <w:r w:rsidR="004D3180" w:rsidRPr="008700CB">
        <w:rPr>
          <w:color w:val="auto"/>
        </w:rPr>
        <w:t xml:space="preserve"> Dört yarıyıl sonunda, mezun olmak için birden fazla dersi kalan öğrencilerin Üniversite ile ilişiği kesilir.</w:t>
      </w:r>
    </w:p>
    <w:p w14:paraId="27D7ED38" w14:textId="32762F26" w:rsidR="004D3180" w:rsidRPr="008700CB" w:rsidRDefault="000525C6" w:rsidP="004D3180">
      <w:pPr>
        <w:pStyle w:val="Gvdemetni0"/>
        <w:numPr>
          <w:ilvl w:val="0"/>
          <w:numId w:val="1"/>
        </w:numPr>
        <w:tabs>
          <w:tab w:val="left" w:pos="1533"/>
        </w:tabs>
        <w:spacing w:line="276" w:lineRule="auto"/>
        <w:ind w:left="1580" w:hanging="380"/>
        <w:jc w:val="both"/>
        <w:rPr>
          <w:color w:val="auto"/>
        </w:rPr>
      </w:pPr>
      <w:r w:rsidRPr="008700CB">
        <w:rPr>
          <w:color w:val="auto"/>
        </w:rPr>
        <w:t>Ek sınav hak</w:t>
      </w:r>
      <w:r w:rsidR="008700CB" w:rsidRPr="008700CB">
        <w:rPr>
          <w:color w:val="auto"/>
        </w:rPr>
        <w:t>larını</w:t>
      </w:r>
      <w:r w:rsidRPr="008700CB">
        <w:rPr>
          <w:color w:val="auto"/>
        </w:rPr>
        <w:t xml:space="preserve"> kullandıktan sonra, kayıtlı olduğu programdaki başarısız olduğu ve/veya almadığı ders sayısı beş veya beşten daha az olan öğrencilere üç yarıyıl, öğrencilik haklarından faydalanmaksızın başarısız oldukları ve/veya almadıkları derslerin sınavlarına girme hakkı verilir.</w:t>
      </w:r>
      <w:r w:rsidR="004D3180" w:rsidRPr="008700CB">
        <w:rPr>
          <w:color w:val="auto"/>
        </w:rPr>
        <w:t xml:space="preserve"> Üç yarıyıl sonunda, mezun olmak için birden fazla dersi kalan öğrencilerin Üniversite ile ilişiği kesilir.</w:t>
      </w:r>
    </w:p>
    <w:p w14:paraId="41A27E2A" w14:textId="77777777" w:rsidR="00AB2C7C" w:rsidRDefault="005C5DC8">
      <w:pPr>
        <w:pStyle w:val="Gvdemetni0"/>
        <w:numPr>
          <w:ilvl w:val="0"/>
          <w:numId w:val="1"/>
        </w:numPr>
        <w:tabs>
          <w:tab w:val="left" w:pos="1537"/>
        </w:tabs>
        <w:ind w:left="1580" w:hanging="380"/>
        <w:jc w:val="both"/>
      </w:pPr>
      <w:r>
        <w:t>Azami öğrenim süresi sonunda ya da ek sınavlar sonunda bir dersten başarısız ya da hiç almadığı bir dersi olanlara öğrencilik haklarından faydalanmaksızın ilgili dersin sınavlarına sınırsız girme hakkı verilir.</w:t>
      </w:r>
    </w:p>
    <w:p w14:paraId="46F0745A" w14:textId="3BB561E1" w:rsidR="00AB2C7C" w:rsidRDefault="005C5DC8" w:rsidP="002D3F1B">
      <w:pPr>
        <w:pStyle w:val="Gvdemetni0"/>
        <w:numPr>
          <w:ilvl w:val="0"/>
          <w:numId w:val="1"/>
        </w:numPr>
        <w:tabs>
          <w:tab w:val="left" w:pos="1537"/>
        </w:tabs>
        <w:ind w:left="1580" w:hanging="380"/>
        <w:jc w:val="both"/>
      </w:pPr>
      <w:r w:rsidRPr="002D3F1B">
        <w:t>Ek sınavların birincisinde sınavına girdikleri dersi başaran öğrenciler, not yükseltmek amacıyla aynı dersin ek sınavının ikincisine giremezler. Birinci ek sınav hakkını kullanamayan öğrenciler ikinci ek sınav hakkını kullanabilirler.</w:t>
      </w:r>
    </w:p>
    <w:p w14:paraId="11AC8973" w14:textId="77777777" w:rsidR="00AB2C7C" w:rsidRDefault="005C5DC8">
      <w:pPr>
        <w:pStyle w:val="Gvdemetni0"/>
        <w:numPr>
          <w:ilvl w:val="0"/>
          <w:numId w:val="1"/>
        </w:numPr>
        <w:tabs>
          <w:tab w:val="left" w:pos="1518"/>
        </w:tabs>
        <w:ind w:left="1580" w:hanging="380"/>
        <w:jc w:val="both"/>
      </w:pPr>
      <w:r>
        <w:t xml:space="preserve">İzledikleri programdan mezun olmak için gerekli bütün derslerden geçer not aldıkları hâlde yönetmeliğimizde başarılı sayılabilmeleri için öngörülen not ortalamalarını sağlayamamaları sebebiyle ilişikleri kesilme durumuna gelen son dönem (sınıf geçme esasına göre öğretim yapılan </w:t>
      </w:r>
      <w:r>
        <w:lastRenderedPageBreak/>
        <w:t>kurumlarda son sınıf) öğrencilerine not ortalamalarını yükseltmek üzere diledikleri derslerden sınırsız olarak dönem sınavlarına girme hakkı tanınır. Bunlardan uygulamalı, uygulaması olan ve daha önce alınmamış dersler dışındaki derslere devam şartı aranmaz.</w:t>
      </w:r>
    </w:p>
    <w:p w14:paraId="2321B1B5" w14:textId="77777777" w:rsidR="00AB2C7C" w:rsidRDefault="005C5DC8">
      <w:pPr>
        <w:pStyle w:val="Gvdemetni0"/>
        <w:numPr>
          <w:ilvl w:val="0"/>
          <w:numId w:val="1"/>
        </w:numPr>
        <w:tabs>
          <w:tab w:val="left" w:pos="1522"/>
        </w:tabs>
        <w:spacing w:line="276" w:lineRule="auto"/>
        <w:ind w:left="1580" w:hanging="380"/>
        <w:jc w:val="both"/>
      </w:pPr>
      <w:r>
        <w:t>Sınırsız sınav hakkı kullanma durumunda olan öğrenciler sınava girdiği ders başına öğrenci katkı payını/öğrenim ücretini ödemeye devam ederler. Ancak bu öğrenciler, sınav hakkı dışındaki diğer öğrencilik haklarından yararlanamazlar.</w:t>
      </w:r>
    </w:p>
    <w:p w14:paraId="5EAB37AE" w14:textId="77777777" w:rsidR="00AB2C7C" w:rsidRDefault="005C5DC8">
      <w:pPr>
        <w:pStyle w:val="Gvdemetni0"/>
        <w:numPr>
          <w:ilvl w:val="0"/>
          <w:numId w:val="1"/>
        </w:numPr>
        <w:tabs>
          <w:tab w:val="left" w:pos="1623"/>
        </w:tabs>
        <w:spacing w:line="276" w:lineRule="auto"/>
        <w:ind w:left="1580" w:hanging="380"/>
        <w:jc w:val="both"/>
      </w:pPr>
      <w:r>
        <w:t>Sınırsız sınav hakkı bulunup, açılacak sınavlara üst üste veya aralıklı olarak toplam üç eğitim-öğretim yılı hiç girmeyen öğrenci, sınırsız sınav hakkından vazgeçmiş sayılır ve Üniversite ile ilişiği kesilir.</w:t>
      </w:r>
    </w:p>
    <w:p w14:paraId="698400A0" w14:textId="77777777" w:rsidR="00AB2C7C" w:rsidRDefault="005C5DC8">
      <w:pPr>
        <w:pStyle w:val="Gvdemetni0"/>
        <w:numPr>
          <w:ilvl w:val="0"/>
          <w:numId w:val="1"/>
        </w:numPr>
        <w:tabs>
          <w:tab w:val="left" w:pos="1623"/>
        </w:tabs>
        <w:ind w:left="1200"/>
      </w:pPr>
      <w:r>
        <w:t>Ek sınavlar için mazeret sınavı düzenlenmez.</w:t>
      </w:r>
    </w:p>
    <w:p w14:paraId="0818E1FB" w14:textId="77777777" w:rsidR="00AB2C7C" w:rsidRDefault="005C5DC8">
      <w:pPr>
        <w:pStyle w:val="Gvdemetni0"/>
        <w:numPr>
          <w:ilvl w:val="0"/>
          <w:numId w:val="1"/>
        </w:numPr>
        <w:tabs>
          <w:tab w:val="left" w:pos="1623"/>
        </w:tabs>
        <w:ind w:left="1580" w:hanging="380"/>
        <w:jc w:val="both"/>
      </w:pPr>
      <w:r>
        <w:t>Derslere devam yükümlülüklerini yerine getirdikleri hâlde, yıl içi ve yıl sonu sınav yükümlülüklerini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yıl sonu sınavı olduğuna bakılmaksızın başvurmaları hâlinde üniversite veya yüksek teknoloji enstitülerinin her eğitim-öğretim yılı başında açacakları sınavlara alınırlar. Sınavların sonunda sorumlu oldukları tüm dersleri başaranların kayıtları yeniden yapılır ve öğrenimlerine kaldıkları yerden devam ederler. Bu durumda olan öğrencilerin sınavlara girdikleri süre, öğrenim süresinden sayılmaz. Bu sınavlara katılan öğrenciler öğrencilik haklarından hiçbir şekilde yararlanamazlar.</w:t>
      </w:r>
    </w:p>
    <w:p w14:paraId="3DA20438" w14:textId="77777777" w:rsidR="00AB2C7C" w:rsidRDefault="005C5DC8">
      <w:pPr>
        <w:pStyle w:val="Gvdemetni0"/>
        <w:numPr>
          <w:ilvl w:val="0"/>
          <w:numId w:val="1"/>
        </w:numPr>
        <w:tabs>
          <w:tab w:val="left" w:pos="1623"/>
        </w:tabs>
        <w:spacing w:line="266" w:lineRule="auto"/>
        <w:ind w:left="1580" w:hanging="380"/>
        <w:jc w:val="both"/>
      </w:pPr>
      <w:r>
        <w:t>Üniversiteden süreli uzaklaştırma cezası alan öğrencilerin ceza süreleri öğrenim süresinden sayılır.</w:t>
      </w:r>
    </w:p>
    <w:p w14:paraId="0B88AE5D" w14:textId="77777777" w:rsidR="00AB2C7C" w:rsidRDefault="005C5DC8">
      <w:pPr>
        <w:pStyle w:val="Gvdemetni0"/>
        <w:numPr>
          <w:ilvl w:val="0"/>
          <w:numId w:val="1"/>
        </w:numPr>
        <w:tabs>
          <w:tab w:val="left" w:pos="1623"/>
        </w:tabs>
        <w:ind w:left="1580" w:hanging="380"/>
        <w:jc w:val="both"/>
      </w:pPr>
      <w:r>
        <w:t>Azami süreler içinde katkı payı veya öğrenim ücretinin ödenmemesi ile kayıt yenilenmemesi nedeniyle öğrencilerin ilişikleri kesilmez. Ancak Senato kararı ve Yükseköğretim Kurulunun onayı ile dört yıl üst üste katkı payı veya öğrenim ücretinin ödenmemesi ile kayıt yenilenmemesi nedeniyle öğrencilerin ilişikleri kesilebilir.</w:t>
      </w:r>
    </w:p>
    <w:p w14:paraId="1595ED58" w14:textId="2C4E7E3D" w:rsidR="00AB2C7C" w:rsidRDefault="005C5DC8">
      <w:pPr>
        <w:pStyle w:val="Gvdemetni0"/>
        <w:numPr>
          <w:ilvl w:val="0"/>
          <w:numId w:val="1"/>
        </w:numPr>
        <w:tabs>
          <w:tab w:val="left" w:pos="1623"/>
        </w:tabs>
        <w:spacing w:after="1200"/>
        <w:ind w:left="1580" w:hanging="380"/>
        <w:jc w:val="both"/>
      </w:pPr>
      <w:r>
        <w:t>Hazırlık eğitim süresi azami iki yıldır. Öğretim dili tamamen veya kısmen yabancı dil olan programların hazırlık sınıfını iki yıl içinde başarı ile tamamlayamayan öğrencilerin kayıtlı olduğu programdan ilişiği kesilir. Öğretim dili tamamen veya kısmen yabancı dil olan programların hazırlık sınıfından ilişiği kesilen öğrenciler, Üniversitemizde öğretim dili Türkçe olan eşdeğer bir programa kayıt yaptırabilirler. Üniversitemizde eşdeğer program bulunmaması hâlinde talep etmeleri durumunda Ölçme, Seçme ve Yerleştirme Merkezi Başkanlığı tarafından bir defaya mahsus olmak üzere kayıt yaptırdığı yıl itibarıyla,</w:t>
      </w:r>
    </w:p>
    <w:p w14:paraId="4396742D" w14:textId="4ED23031" w:rsidR="00AB2C7C" w:rsidRDefault="005C5DC8" w:rsidP="00CF7865">
      <w:pPr>
        <w:pStyle w:val="Gvdemetni40"/>
        <w:spacing w:after="160"/>
        <w:ind w:left="708"/>
        <w:jc w:val="both"/>
      </w:pPr>
      <w:r>
        <w:br w:type="page"/>
      </w:r>
      <w:r>
        <w:rPr>
          <w:sz w:val="24"/>
          <w:szCs w:val="24"/>
        </w:rPr>
        <w:lastRenderedPageBreak/>
        <w:t>öğrencinin üniversiteye giriş puanının, yerleştirileceği programa kayıt yaptırmak için aranan taban puanından düşük olmaması şartıyla öğretim dili Türkçe olan programlardan birine merkezi olarak yerleştirilebilirler.</w:t>
      </w:r>
    </w:p>
    <w:p w14:paraId="7DF3C83F" w14:textId="77777777" w:rsidR="00AB2C7C" w:rsidRDefault="00AB2C7C">
      <w:pPr>
        <w:pStyle w:val="Gvdemetni0"/>
        <w:numPr>
          <w:ilvl w:val="0"/>
          <w:numId w:val="1"/>
        </w:numPr>
        <w:spacing w:after="280"/>
        <w:ind w:left="1200"/>
      </w:pPr>
    </w:p>
    <w:p w14:paraId="0C561A4B" w14:textId="6E88EE1F" w:rsidR="00AB2C7C" w:rsidRDefault="005C5DC8">
      <w:pPr>
        <w:pStyle w:val="Gvdemetni0"/>
        <w:numPr>
          <w:ilvl w:val="0"/>
          <w:numId w:val="2"/>
        </w:numPr>
        <w:tabs>
          <w:tab w:val="left" w:pos="1948"/>
        </w:tabs>
        <w:spacing w:after="0"/>
        <w:ind w:left="1920" w:hanging="340"/>
      </w:pPr>
      <w:r>
        <w:t>Yükseköğretim Yürütme Kurulu'nun 15.07.2015 tarihli kararı uyarınca 26.11.2014 tarihi itibariyle kayıtlı tüm öğrencilerinin azami öğrenim süresi başlangıç tarihi olarak 2014-2015 güz yarıyılı esas alınır.</w:t>
      </w:r>
    </w:p>
    <w:p w14:paraId="5E3B5708" w14:textId="77777777" w:rsidR="00AB2C7C" w:rsidRDefault="005C5DC8">
      <w:pPr>
        <w:pStyle w:val="Gvdemetni0"/>
        <w:numPr>
          <w:ilvl w:val="0"/>
          <w:numId w:val="2"/>
        </w:numPr>
        <w:tabs>
          <w:tab w:val="left" w:pos="1972"/>
        </w:tabs>
        <w:spacing w:after="0"/>
        <w:ind w:left="1920" w:hanging="340"/>
      </w:pPr>
      <w:r>
        <w:t>26.11.2014 tarihinden sonra af kanunları ile kayıt yaptıran öğrencilerin azami sürelerinin başlangıç tarihi olarak derslere başladıkları tarih esas alınır.</w:t>
      </w:r>
    </w:p>
    <w:p w14:paraId="2586B90E" w14:textId="77777777" w:rsidR="00AB2C7C" w:rsidRDefault="005C5DC8">
      <w:pPr>
        <w:pStyle w:val="Gvdemetni0"/>
        <w:numPr>
          <w:ilvl w:val="0"/>
          <w:numId w:val="2"/>
        </w:numPr>
        <w:tabs>
          <w:tab w:val="left" w:pos="1948"/>
        </w:tabs>
        <w:spacing w:after="0"/>
        <w:ind w:left="1920" w:hanging="340"/>
      </w:pPr>
      <w:r>
        <w:t>26.11.2014 tarihinden sonra yatay geçiş suretiyle kayıt yaptıran öğrencilerin önceki öğrenim süreleri (2014-2015 güz yarıyılından önceki süreleri hariç) azami süreden sayılır.</w:t>
      </w:r>
    </w:p>
    <w:p w14:paraId="3C761E2F" w14:textId="68F3E8A1" w:rsidR="00AB2C7C" w:rsidRDefault="005C5DC8">
      <w:pPr>
        <w:pStyle w:val="Gvdemetni0"/>
        <w:numPr>
          <w:ilvl w:val="0"/>
          <w:numId w:val="2"/>
        </w:numPr>
        <w:tabs>
          <w:tab w:val="left" w:pos="1962"/>
        </w:tabs>
        <w:spacing w:after="9600"/>
        <w:ind w:left="1920" w:hanging="340"/>
      </w:pPr>
      <w:r>
        <w:t>Dikey geçiş sınavı ile Üniversitenin lisans programlarına kayıt yaptıran öğrencilerin mezun oldukları önlisans programlarının normal süresi olan iki yıl, geçiş yaptıkları lisans programlarının azamî öğrenim sürelerine dâhil edilir.</w:t>
      </w:r>
    </w:p>
    <w:sectPr w:rsidR="00AB2C7C" w:rsidSect="002C53B7">
      <w:headerReference w:type="default" r:id="rId8"/>
      <w:footerReference w:type="default" r:id="rId9"/>
      <w:pgSz w:w="11900" w:h="16840"/>
      <w:pgMar w:top="0" w:right="1026" w:bottom="839" w:left="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1E53F" w14:textId="77777777" w:rsidR="00644807" w:rsidRDefault="00644807">
      <w:r>
        <w:separator/>
      </w:r>
    </w:p>
  </w:endnote>
  <w:endnote w:type="continuationSeparator" w:id="0">
    <w:p w14:paraId="1987C1EE" w14:textId="77777777" w:rsidR="00644807" w:rsidRDefault="0064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42443747"/>
      <w:docPartObj>
        <w:docPartGallery w:val="Page Numbers (Bottom of Page)"/>
        <w:docPartUnique/>
      </w:docPartObj>
    </w:sdtPr>
    <w:sdtEndPr>
      <w:rPr>
        <w:b w:val="0"/>
        <w:bCs w:val="0"/>
      </w:rPr>
    </w:sdtEndPr>
    <w:sdtContent>
      <w:p w14:paraId="646C689B" w14:textId="7BDE1743" w:rsidR="00AC6CB1" w:rsidRDefault="005A51D4">
        <w:pPr>
          <w:pStyle w:val="AltBilgi"/>
          <w:jc w:val="center"/>
        </w:pPr>
        <w:r w:rsidRPr="00C66018">
          <w:rPr>
            <w:b/>
            <w:bCs/>
          </w:rPr>
          <w:t>Sayfa</w:t>
        </w:r>
        <w:r w:rsidR="00AC6CB1" w:rsidRPr="00C66018">
          <w:rPr>
            <w:b/>
            <w:bCs/>
          </w:rPr>
          <w:fldChar w:fldCharType="begin"/>
        </w:r>
        <w:r w:rsidR="00AC6CB1" w:rsidRPr="00C66018">
          <w:rPr>
            <w:b/>
            <w:bCs/>
          </w:rPr>
          <w:instrText>PAGE   \* MERGEFORMAT</w:instrText>
        </w:r>
        <w:r w:rsidR="00AC6CB1" w:rsidRPr="00C66018">
          <w:rPr>
            <w:b/>
            <w:bCs/>
          </w:rPr>
          <w:fldChar w:fldCharType="separate"/>
        </w:r>
        <w:r w:rsidR="00EC4914">
          <w:rPr>
            <w:b/>
            <w:bCs/>
            <w:noProof/>
          </w:rPr>
          <w:t>3</w:t>
        </w:r>
        <w:r w:rsidR="00AC6CB1" w:rsidRPr="00C66018">
          <w:rPr>
            <w:b/>
            <w:bCs/>
          </w:rPr>
          <w:fldChar w:fldCharType="end"/>
        </w:r>
        <w:r w:rsidRPr="00C66018">
          <w:rPr>
            <w:b/>
            <w:bCs/>
          </w:rPr>
          <w:t>/3</w:t>
        </w:r>
      </w:p>
    </w:sdtContent>
  </w:sdt>
  <w:p w14:paraId="0BB0C1C4" w14:textId="4CBCAB4B" w:rsidR="00AB2C7C" w:rsidRDefault="00AB2C7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270BB" w14:textId="77777777" w:rsidR="00644807" w:rsidRDefault="00644807"/>
  </w:footnote>
  <w:footnote w:type="continuationSeparator" w:id="0">
    <w:p w14:paraId="46F6E592" w14:textId="77777777" w:rsidR="00644807" w:rsidRDefault="006448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1087" w14:textId="1594C418" w:rsidR="00AC6CB1" w:rsidRDefault="00AC6CB1">
    <w:pPr>
      <w:pStyle w:val="stBilgi"/>
      <w:jc w:val="center"/>
    </w:pPr>
  </w:p>
  <w:p w14:paraId="6C570EDB" w14:textId="4D91FCA9" w:rsidR="00AB2C7C" w:rsidRDefault="00AB2C7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75824"/>
    <w:multiLevelType w:val="multilevel"/>
    <w:tmpl w:val="38B4D9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F61506"/>
    <w:multiLevelType w:val="multilevel"/>
    <w:tmpl w:val="97284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7C"/>
    <w:rsid w:val="000525C6"/>
    <w:rsid w:val="00071806"/>
    <w:rsid w:val="000F0EC0"/>
    <w:rsid w:val="001D34C9"/>
    <w:rsid w:val="002745FE"/>
    <w:rsid w:val="002C53B7"/>
    <w:rsid w:val="002D3F1B"/>
    <w:rsid w:val="002E035C"/>
    <w:rsid w:val="002F0D74"/>
    <w:rsid w:val="00322311"/>
    <w:rsid w:val="004D3180"/>
    <w:rsid w:val="005A51D4"/>
    <w:rsid w:val="005C5DC8"/>
    <w:rsid w:val="00644807"/>
    <w:rsid w:val="00666A74"/>
    <w:rsid w:val="007A6075"/>
    <w:rsid w:val="008700CB"/>
    <w:rsid w:val="00950F5F"/>
    <w:rsid w:val="00A16892"/>
    <w:rsid w:val="00A65482"/>
    <w:rsid w:val="00AB2C7C"/>
    <w:rsid w:val="00AB6AD4"/>
    <w:rsid w:val="00AC6CB1"/>
    <w:rsid w:val="00BA70C0"/>
    <w:rsid w:val="00C66018"/>
    <w:rsid w:val="00CF7865"/>
    <w:rsid w:val="00DC740D"/>
    <w:rsid w:val="00EC4914"/>
    <w:rsid w:val="00FB1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CA550"/>
  <w15:docId w15:val="{FDF76C4D-AC7D-495E-8C3C-6F4576F0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6"/>
      <w:szCs w:val="16"/>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6"/>
      <w:szCs w:val="1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5">
    <w:name w:val="Gövde metni (5)_"/>
    <w:basedOn w:val="VarsaylanParagrafYazTipi"/>
    <w:link w:val="Gvdemetni50"/>
    <w:rPr>
      <w:rFonts w:ascii="Arial" w:eastAsia="Arial" w:hAnsi="Arial" w:cs="Arial"/>
      <w:b/>
      <w:bCs/>
      <w:i w:val="0"/>
      <w:iCs w:val="0"/>
      <w:smallCaps w:val="0"/>
      <w:strike w:val="0"/>
      <w:color w:val="A9A9A9"/>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8"/>
      <w:szCs w:val="18"/>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32"/>
      <w:szCs w:val="3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rPr>
  </w:style>
  <w:style w:type="character" w:customStyle="1" w:styleId="Gvdemetni6">
    <w:name w:val="Gövde metni (6)_"/>
    <w:basedOn w:val="VarsaylanParagrafYazTipi"/>
    <w:link w:val="Gvdemetni60"/>
    <w:rPr>
      <w:rFonts w:ascii="Calibri" w:eastAsia="Calibri" w:hAnsi="Calibri" w:cs="Calibri"/>
      <w:b w:val="0"/>
      <w:bCs w:val="0"/>
      <w:i w:val="0"/>
      <w:iCs w:val="0"/>
      <w:smallCaps w:val="0"/>
      <w:strike w:val="0"/>
      <w:sz w:val="22"/>
      <w:szCs w:val="22"/>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0"/>
      <w:szCs w:val="20"/>
      <w:u w:val="none"/>
    </w:rPr>
  </w:style>
  <w:style w:type="paragraph" w:customStyle="1" w:styleId="Gvdemetni0">
    <w:name w:val="Gövde metni"/>
    <w:basedOn w:val="Normal"/>
    <w:link w:val="Gvdemetni"/>
    <w:pPr>
      <w:spacing w:after="160" w:line="269" w:lineRule="auto"/>
    </w:pPr>
    <w:rPr>
      <w:rFonts w:ascii="Times New Roman" w:eastAsia="Times New Roman" w:hAnsi="Times New Roman" w:cs="Times New Roman"/>
    </w:rPr>
  </w:style>
  <w:style w:type="paragraph" w:customStyle="1" w:styleId="Gvdemetni30">
    <w:name w:val="Gövde metni (3)"/>
    <w:basedOn w:val="Normal"/>
    <w:link w:val="Gvdemetni3"/>
    <w:rPr>
      <w:rFonts w:ascii="Times New Roman" w:eastAsia="Times New Roman" w:hAnsi="Times New Roman" w:cs="Times New Roman"/>
      <w:sz w:val="16"/>
      <w:szCs w:val="16"/>
    </w:rPr>
  </w:style>
  <w:style w:type="paragraph" w:customStyle="1" w:styleId="Resimyazs0">
    <w:name w:val="Resim yazısı"/>
    <w:basedOn w:val="Normal"/>
    <w:link w:val="Resimyazs"/>
    <w:pPr>
      <w:spacing w:after="40"/>
      <w:jc w:val="right"/>
    </w:pPr>
    <w:rPr>
      <w:rFonts w:ascii="Times New Roman" w:eastAsia="Times New Roman" w:hAnsi="Times New Roman" w:cs="Times New Roman"/>
      <w:sz w:val="16"/>
      <w:szCs w:val="16"/>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50">
    <w:name w:val="Gövde metni (5)"/>
    <w:basedOn w:val="Normal"/>
    <w:link w:val="Gvdemetni5"/>
    <w:rPr>
      <w:rFonts w:ascii="Arial" w:eastAsia="Arial" w:hAnsi="Arial" w:cs="Arial"/>
      <w:b/>
      <w:bCs/>
      <w:color w:val="A9A9A9"/>
      <w:sz w:val="20"/>
      <w:szCs w:val="20"/>
    </w:rPr>
  </w:style>
  <w:style w:type="paragraph" w:customStyle="1" w:styleId="Gvdemetni20">
    <w:name w:val="Gövde metni (2)"/>
    <w:basedOn w:val="Normal"/>
    <w:link w:val="Gvdemetni2"/>
    <w:pPr>
      <w:spacing w:after="180"/>
      <w:jc w:val="center"/>
    </w:pPr>
    <w:rPr>
      <w:rFonts w:ascii="Times New Roman" w:eastAsia="Times New Roman" w:hAnsi="Times New Roman" w:cs="Times New Roman"/>
      <w:sz w:val="18"/>
      <w:szCs w:val="18"/>
    </w:rPr>
  </w:style>
  <w:style w:type="paragraph" w:customStyle="1" w:styleId="Balk10">
    <w:name w:val="Başlık #1"/>
    <w:basedOn w:val="Normal"/>
    <w:link w:val="Balk1"/>
    <w:pPr>
      <w:jc w:val="center"/>
      <w:outlineLvl w:val="0"/>
    </w:pPr>
    <w:rPr>
      <w:rFonts w:ascii="Times New Roman" w:eastAsia="Times New Roman" w:hAnsi="Times New Roman" w:cs="Times New Roman"/>
      <w:b/>
      <w:bCs/>
      <w:sz w:val="32"/>
      <w:szCs w:val="32"/>
    </w:rPr>
  </w:style>
  <w:style w:type="paragraph" w:customStyle="1" w:styleId="Dier0">
    <w:name w:val="Diğer"/>
    <w:basedOn w:val="Normal"/>
    <w:link w:val="Dier"/>
    <w:pPr>
      <w:spacing w:after="160" w:line="269" w:lineRule="auto"/>
    </w:pPr>
    <w:rPr>
      <w:rFonts w:ascii="Times New Roman" w:eastAsia="Times New Roman" w:hAnsi="Times New Roman" w:cs="Times New Roman"/>
    </w:rPr>
  </w:style>
  <w:style w:type="paragraph" w:customStyle="1" w:styleId="Gvdemetni60">
    <w:name w:val="Gövde metni (6)"/>
    <w:basedOn w:val="Normal"/>
    <w:link w:val="Gvdemetni6"/>
    <w:pPr>
      <w:jc w:val="center"/>
    </w:pPr>
    <w:rPr>
      <w:rFonts w:ascii="Calibri" w:eastAsia="Calibri" w:hAnsi="Calibri" w:cs="Calibri"/>
      <w:sz w:val="22"/>
      <w:szCs w:val="22"/>
    </w:rPr>
  </w:style>
  <w:style w:type="paragraph" w:customStyle="1" w:styleId="Gvdemetni40">
    <w:name w:val="Gövde metni (4)"/>
    <w:basedOn w:val="Normal"/>
    <w:link w:val="Gvdemetni4"/>
    <w:pPr>
      <w:spacing w:after="220"/>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0525C6"/>
    <w:pPr>
      <w:tabs>
        <w:tab w:val="center" w:pos="4536"/>
        <w:tab w:val="right" w:pos="9072"/>
      </w:tabs>
    </w:pPr>
  </w:style>
  <w:style w:type="character" w:customStyle="1" w:styleId="stBilgiChar">
    <w:name w:val="Üst Bilgi Char"/>
    <w:basedOn w:val="VarsaylanParagrafYazTipi"/>
    <w:link w:val="stBilgi"/>
    <w:uiPriority w:val="99"/>
    <w:rsid w:val="000525C6"/>
    <w:rPr>
      <w:color w:val="000000"/>
    </w:rPr>
  </w:style>
  <w:style w:type="paragraph" w:styleId="AltBilgi">
    <w:name w:val="footer"/>
    <w:basedOn w:val="Normal"/>
    <w:link w:val="AltBilgiChar"/>
    <w:uiPriority w:val="99"/>
    <w:unhideWhenUsed/>
    <w:rsid w:val="000525C6"/>
    <w:pPr>
      <w:tabs>
        <w:tab w:val="center" w:pos="4536"/>
        <w:tab w:val="right" w:pos="9072"/>
      </w:tabs>
    </w:pPr>
  </w:style>
  <w:style w:type="character" w:customStyle="1" w:styleId="AltBilgiChar">
    <w:name w:val="Alt Bilgi Char"/>
    <w:basedOn w:val="VarsaylanParagrafYazTipi"/>
    <w:link w:val="AltBilgi"/>
    <w:uiPriority w:val="99"/>
    <w:rsid w:val="000525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C05A-2A9F-43F4-B49D-BDF852D4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5947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Senato Kararı.  0</dc:subject>
  <dc:creator>enVision Document &amp; Workflow Management System</dc:creator>
  <cp:keywords/>
  <cp:lastModifiedBy>İnci KIRAT</cp:lastModifiedBy>
  <cp:revision>4</cp:revision>
  <dcterms:created xsi:type="dcterms:W3CDTF">2025-07-24T10:24:00Z</dcterms:created>
  <dcterms:modified xsi:type="dcterms:W3CDTF">2025-07-28T11:01:00Z</dcterms:modified>
</cp:coreProperties>
</file>