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BD75A5" w:rsidTr="00880917">
        <w:tc>
          <w:tcPr>
            <w:tcW w:w="9062" w:type="dxa"/>
            <w:gridSpan w:val="6"/>
          </w:tcPr>
          <w:p w:rsidR="00BD75A5" w:rsidRDefault="00BD75A5" w:rsidP="008809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  <w:p w:rsidR="00457C8F" w:rsidRDefault="00457C8F" w:rsidP="00880917"/>
        </w:tc>
      </w:tr>
      <w:tr w:rsidR="00021AF8" w:rsidTr="00D23F72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021AF8" w:rsidRPr="00AB4389" w:rsidRDefault="00CF204B" w:rsidP="0012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İşlemleri</w:t>
            </w:r>
            <w:r w:rsidR="00122EEC">
              <w:rPr>
                <w:rFonts w:ascii="Times New Roman" w:hAnsi="Times New Roman" w:cs="Times New Roman"/>
                <w:sz w:val="24"/>
                <w:szCs w:val="24"/>
              </w:rPr>
              <w:t>nde kamu zararı oluşması</w:t>
            </w:r>
          </w:p>
        </w:tc>
      </w:tr>
      <w:tr w:rsidR="00021AF8" w:rsidTr="0028025F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021AF8" w:rsidRPr="004070A4" w:rsidRDefault="004070A4" w:rsidP="0040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0A4">
              <w:rPr>
                <w:rFonts w:ascii="Times New Roman" w:hAnsi="Times New Roman" w:cs="Times New Roman"/>
                <w:sz w:val="24"/>
                <w:szCs w:val="24"/>
              </w:rPr>
              <w:t>Hizmet veya Mal alımlarında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07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2DF">
              <w:rPr>
                <w:rFonts w:ascii="Times New Roman" w:eastAsia="Times New Roman" w:hAnsi="Times New Roman" w:cs="Times New Roman"/>
              </w:rPr>
              <w:t xml:space="preserve"> </w:t>
            </w:r>
            <w:r w:rsidR="00F672DF">
              <w:rPr>
                <w:rFonts w:ascii="Times New Roman" w:eastAsia="Times New Roman" w:hAnsi="Times New Roman" w:cs="Times New Roman"/>
              </w:rPr>
              <w:t>Doğrudan Temin veya ihale yoluyla alınacak mal veya hizmetin Yaklaşık Maliyet Hesap Cetvelinin hatalı hazırlanma olasılığı.</w:t>
            </w:r>
            <w:bookmarkStart w:id="0" w:name="_GoBack"/>
            <w:bookmarkEnd w:id="0"/>
            <w:r w:rsidRPr="00407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Satın alınması </w:t>
            </w:r>
            <w:r w:rsidRPr="004070A4">
              <w:rPr>
                <w:rFonts w:ascii="Times New Roman" w:eastAsia="Calibri" w:hAnsi="Times New Roman" w:cs="Times New Roman"/>
                <w:sz w:val="24"/>
                <w:szCs w:val="24"/>
              </w:rPr>
              <w:t>planlanan ürün veya hizmetin ihtiyaçlara göre belirlen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</w:t>
            </w:r>
            <w:r w:rsidRPr="004070A4">
              <w:rPr>
                <w:rFonts w:ascii="Times New Roman" w:eastAsia="Calibri" w:hAnsi="Times New Roman" w:cs="Times New Roman"/>
                <w:sz w:val="24"/>
                <w:szCs w:val="24"/>
              </w:rPr>
              <w:t>mesi,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0A4">
              <w:rPr>
                <w:rFonts w:ascii="Times New Roman" w:eastAsia="Calibri" w:hAnsi="Times New Roman" w:cs="Times New Roman"/>
                <w:sz w:val="24"/>
                <w:szCs w:val="24"/>
              </w:rPr>
              <w:t>İstenen ürün veya hizmetin teslim alınan ürün veya hizmet ile uyumlu olup olmadığının kontrol edilme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mesi nedeniyle </w:t>
            </w:r>
            <w:r w:rsidR="00CF204B">
              <w:rPr>
                <w:rFonts w:ascii="Times New Roman" w:hAnsi="Times New Roman" w:cs="Times New Roman"/>
                <w:sz w:val="24"/>
                <w:szCs w:val="24"/>
              </w:rPr>
              <w:t>kamu zararı oluşması.</w:t>
            </w:r>
          </w:p>
        </w:tc>
      </w:tr>
      <w:tr w:rsidR="00021AF8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21AF8" w:rsidRPr="00823076" w:rsidRDefault="00021AF8" w:rsidP="00021AF8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021AF8" w:rsidRPr="00000262" w:rsidRDefault="00F24A90" w:rsidP="00EF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00262" w:rsidRPr="00000262">
              <w:rPr>
                <w:rFonts w:ascii="Times New Roman" w:hAnsi="Times New Roman" w:cs="Times New Roman"/>
                <w:sz w:val="24"/>
                <w:szCs w:val="24"/>
              </w:rPr>
              <w:t xml:space="preserve">htiyaç dışı ürün alınması, </w:t>
            </w:r>
            <w:r w:rsidR="00EF3ED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9001D7">
              <w:rPr>
                <w:rFonts w:ascii="Times New Roman" w:hAnsi="Times New Roman" w:cs="Times New Roman"/>
                <w:sz w:val="24"/>
                <w:szCs w:val="24"/>
              </w:rPr>
              <w:t xml:space="preserve">rün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teslimatı sırasında ürün veya hizmet kontrolünün sağlıklı yapılmaması.</w:t>
            </w:r>
          </w:p>
        </w:tc>
      </w:tr>
      <w:tr w:rsidR="008D40AD" w:rsidTr="008338F2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D40AD" w:rsidRPr="00823076" w:rsidRDefault="008D40AD" w:rsidP="008D40AD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8D40AD" w:rsidRPr="00AB4389" w:rsidRDefault="00F24A90" w:rsidP="00F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90">
              <w:rPr>
                <w:rFonts w:ascii="Times New Roman" w:hAnsi="Times New Roman" w:cs="Times New Roman"/>
                <w:sz w:val="24"/>
                <w:szCs w:val="24"/>
              </w:rPr>
              <w:t>Defolu ürün olması, Kalite düşüklüğü ve istenen ürüne birebir yanlış ürün ya da ihtiyaç dışı ürün alınması, ürünlerin bakımının Ürün teslimatı sırasında ürün veya hizmet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ntrolünün sağlıklı yapılmaması </w:t>
            </w:r>
            <w:r w:rsidRPr="00F24A90">
              <w:rPr>
                <w:rFonts w:ascii="Times New Roman" w:hAnsi="Times New Roman" w:cs="Times New Roman"/>
                <w:sz w:val="24"/>
                <w:szCs w:val="24"/>
              </w:rPr>
              <w:t>sonucunda kamu zararı oluşması.</w:t>
            </w:r>
          </w:p>
        </w:tc>
      </w:tr>
      <w:tr w:rsidR="008D40A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6B6DC3" w:rsidRDefault="00DC06D4" w:rsidP="00E54D80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6D4">
              <w:rPr>
                <w:rFonts w:ascii="Times New Roman" w:eastAsia="Calibri" w:hAnsi="Times New Roman" w:cs="Times New Roman"/>
                <w:sz w:val="24"/>
                <w:szCs w:val="24"/>
              </w:rPr>
              <w:t>Satın alınması planlanan ürün veya hizmetin ihtiyaçlara göre belirlenmesi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4223" w:rsidRDefault="000B4223" w:rsidP="00E54D80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C3">
              <w:rPr>
                <w:rFonts w:ascii="Times New Roman" w:eastAsia="Calibri" w:hAnsi="Times New Roman" w:cs="Times New Roman"/>
                <w:sz w:val="24"/>
                <w:szCs w:val="24"/>
              </w:rPr>
              <w:t>İstenen ürün</w:t>
            </w:r>
            <w:r w:rsidR="006B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hizmetin teslim alınan ürün veya hizmet ile</w:t>
            </w:r>
            <w:r w:rsidRPr="006B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uyumlu olup olmadığının kontrol edilmesi.</w:t>
            </w:r>
          </w:p>
          <w:p w:rsidR="006B6DC3" w:rsidRPr="006B6DC3" w:rsidRDefault="006B6DC3" w:rsidP="006B6DC3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0AD" w:rsidTr="00880917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D40AD" w:rsidRPr="00823076" w:rsidRDefault="008D40AD" w:rsidP="008D40AD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8D40AD" w:rsidRDefault="008D40AD" w:rsidP="008D40AD"/>
        </w:tc>
      </w:tr>
      <w:tr w:rsidR="008D40AD" w:rsidTr="00880917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40AD" w:rsidRPr="00823076" w:rsidRDefault="008D40AD" w:rsidP="008D40AD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8D40AD" w:rsidRDefault="008D40AD" w:rsidP="008D40AD">
            <w:pPr>
              <w:pStyle w:val="ListeParagraf"/>
            </w:pPr>
          </w:p>
          <w:p w:rsidR="008D40AD" w:rsidRPr="00045231" w:rsidRDefault="008D40AD" w:rsidP="008D40AD">
            <w:pPr>
              <w:rPr>
                <w:b/>
              </w:rPr>
            </w:pPr>
            <w:r>
              <w:rPr>
                <w:b/>
              </w:rPr>
              <w:t xml:space="preserve">Yönetim </w:t>
            </w:r>
            <w:r w:rsidRPr="00045231">
              <w:rPr>
                <w:b/>
              </w:rPr>
              <w:t>İşleri</w:t>
            </w:r>
          </w:p>
        </w:tc>
      </w:tr>
      <w:tr w:rsidR="008D40AD" w:rsidTr="00880917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D40AD" w:rsidRPr="00823076" w:rsidRDefault="008D40AD" w:rsidP="008D40AD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8D40AD" w:rsidP="008D40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8D40AD" w:rsidRPr="00823076" w:rsidRDefault="008D40AD" w:rsidP="008D40AD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8D40AD" w:rsidTr="00880917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8D40AD" w:rsidRDefault="008D40AD" w:rsidP="008D40A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D" w:rsidRPr="00823076" w:rsidRDefault="000B4223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8D40AD" w:rsidRPr="00823076" w:rsidRDefault="008D40AD" w:rsidP="008D40AD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8D40AD" w:rsidRPr="00823076" w:rsidRDefault="000B4223" w:rsidP="008D40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40AD" w:rsidTr="00880917">
        <w:tc>
          <w:tcPr>
            <w:tcW w:w="9062" w:type="dxa"/>
            <w:gridSpan w:val="6"/>
          </w:tcPr>
          <w:p w:rsidR="008D40AD" w:rsidRDefault="008D40AD" w:rsidP="008D40AD"/>
        </w:tc>
      </w:tr>
      <w:tr w:rsidR="008D40AD" w:rsidTr="00880917">
        <w:trPr>
          <w:trHeight w:val="4029"/>
        </w:trPr>
        <w:tc>
          <w:tcPr>
            <w:tcW w:w="9062" w:type="dxa"/>
            <w:gridSpan w:val="6"/>
          </w:tcPr>
          <w:p w:rsidR="008D40AD" w:rsidRPr="00BD75A5" w:rsidRDefault="008D40AD" w:rsidP="008D40AD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8D40AD" w:rsidRPr="00823076" w:rsidRDefault="008D40AD" w:rsidP="008D40AD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8D40AD" w:rsidRDefault="008D40AD" w:rsidP="008D40AD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80917" w:rsidRPr="00457C8F" w:rsidRDefault="00880917" w:rsidP="00880917">
      <w:pPr>
        <w:rPr>
          <w:b/>
        </w:rPr>
      </w:pPr>
      <w:r w:rsidRPr="00457C8F">
        <w:rPr>
          <w:b/>
        </w:rPr>
        <w:t>EK 2: RİSK KAYIT FORMU</w:t>
      </w:r>
    </w:p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F672DF" w:rsidRPr="00C52F15" w:rsidTr="00D9668F">
        <w:trPr>
          <w:trHeight w:hRule="exact" w:val="624"/>
        </w:trPr>
        <w:tc>
          <w:tcPr>
            <w:tcW w:w="10015" w:type="dxa"/>
            <w:gridSpan w:val="6"/>
          </w:tcPr>
          <w:p w:rsidR="00F672DF" w:rsidRPr="00C52F15" w:rsidRDefault="00F672DF" w:rsidP="00D9668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F672DF" w:rsidRPr="00C52F15" w:rsidTr="00D9668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Yaklaşık Maliyetin hatalı hazırlanma olasılığı.</w:t>
            </w:r>
          </w:p>
        </w:tc>
      </w:tr>
      <w:tr w:rsidR="00F672DF" w:rsidRPr="00C52F15" w:rsidTr="00D9668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Doğrudan Temin veya ihale yoluyla alınacak mal veya hizmetin Yaklaşık Maliyet Hesap Cetvelinin hatalı hazırlanma olasılığı.</w:t>
            </w:r>
          </w:p>
        </w:tc>
      </w:tr>
      <w:tr w:rsidR="00F672DF" w:rsidRPr="00C52F15" w:rsidTr="00D9668F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İç ve dış sebeplerden dolayı piyasa araştırmasının sağlıklı yapılmaması. Hesaplama araçlarından veya hazırlayan kişilerden kaynaklı rakamsal hatalar.</w:t>
            </w:r>
          </w:p>
        </w:tc>
      </w:tr>
      <w:tr w:rsidR="00F672DF" w:rsidRPr="00C52F15" w:rsidTr="00D9668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672DF" w:rsidRPr="00C52F15" w:rsidRDefault="00F672DF" w:rsidP="00D9668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Yaklaşık maliyetinin yanlış olması durumunda kurumu maddi zarara ve zaman kaybına yol açması. Ihtiyacin temin edilememesi.</w:t>
            </w:r>
          </w:p>
        </w:tc>
      </w:tr>
      <w:tr w:rsidR="00F672DF" w:rsidRPr="00C52F15" w:rsidTr="00D9668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Yaklaşık maliyet komisyonu ve i</w:t>
            </w:r>
            <w:r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lgili satın alma görevlisi tarafından yaklaşık maliyetin gözden geçirilmesi.</w:t>
            </w:r>
          </w:p>
        </w:tc>
      </w:tr>
      <w:tr w:rsidR="00F672DF" w:rsidRPr="00C52F15" w:rsidTr="00D9668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672DF" w:rsidRPr="00C52F15" w:rsidRDefault="00F672DF" w:rsidP="00D9668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2DF" w:rsidRPr="00C52F15" w:rsidTr="00D9668F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2DF" w:rsidRPr="00C52F15" w:rsidRDefault="00F672DF" w:rsidP="00D9668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F672DF" w:rsidRPr="00C52F15" w:rsidRDefault="00F672DF" w:rsidP="00D9668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672DF" w:rsidRPr="00C52F15" w:rsidRDefault="00F672DF" w:rsidP="00D9668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72DF" w:rsidRPr="00C52F15" w:rsidTr="00D9668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F672DF" w:rsidRPr="00C52F15" w:rsidRDefault="00F672DF" w:rsidP="00D9668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F672DF" w:rsidRPr="00C52F15" w:rsidRDefault="00F672DF" w:rsidP="00D9668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F672DF" w:rsidRPr="00C52F15" w:rsidTr="00D9668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672DF" w:rsidRPr="00C52F15" w:rsidTr="00D9668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72DF" w:rsidRPr="00C52F15" w:rsidTr="00D9668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672DF" w:rsidRPr="00C52F15" w:rsidRDefault="00F672DF" w:rsidP="00D9668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GENEL AÇIKLAMA</w:t>
            </w:r>
          </w:p>
        </w:tc>
      </w:tr>
      <w:tr w:rsidR="00F672DF" w:rsidRPr="00C52F15" w:rsidTr="00D9668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F672DF" w:rsidRPr="00C52F15" w:rsidTr="00D9668F">
        <w:trPr>
          <w:trHeight w:hRule="exact" w:val="624"/>
        </w:trPr>
        <w:tc>
          <w:tcPr>
            <w:tcW w:w="10015" w:type="dxa"/>
            <w:gridSpan w:val="6"/>
          </w:tcPr>
          <w:p w:rsidR="00F672DF" w:rsidRPr="00C52F15" w:rsidRDefault="00F672DF" w:rsidP="00D9668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F672DF" w:rsidRPr="00C52F15" w:rsidTr="00D9668F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Kabul Komisyonunun mal veya hizmeti yeterince incelememe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olasılığı.</w:t>
            </w:r>
          </w:p>
        </w:tc>
      </w:tr>
      <w:tr w:rsidR="00F672DF" w:rsidRPr="00C52F15" w:rsidTr="00D9668F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Doğrudan Temin veya ihale yoluyla alınan mal veya hizmetin  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Kabul 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 incele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si.</w:t>
            </w:r>
          </w:p>
        </w:tc>
      </w:tr>
      <w:tr w:rsidR="00F672DF" w:rsidRPr="00C52F15" w:rsidTr="00D9668F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 Komisyonununda bulunan üyelerin bilgi eksikliği ve mal veya hizmet alındığı zaman 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 incele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meyerek görevini yerine getirmemesi.</w:t>
            </w:r>
          </w:p>
        </w:tc>
      </w:tr>
      <w:tr w:rsidR="00F672DF" w:rsidRPr="00C52F15" w:rsidTr="00D9668F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672DF" w:rsidRPr="00C52F15" w:rsidRDefault="00F672DF" w:rsidP="00D9668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 Komisyonu görevini yerine getirmezse; malzeme yanlış veya eksik alınır. K</w:t>
            </w:r>
            <w:r>
              <w:rPr>
                <w:rFonts w:ascii="Times New Roman" w:eastAsia="Times New Roman" w:hAnsi="Times New Roman" w:cs="Times New Roman"/>
              </w:rPr>
              <w:t>urumu maddi zarara veya zaman kaybına uğratır.</w:t>
            </w:r>
          </w:p>
        </w:tc>
      </w:tr>
      <w:tr w:rsidR="00F672DF" w:rsidRPr="00C52F15" w:rsidTr="00D9668F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Muayene Kabul Komisyonunda alımla ilgili bilgisi olan personelin yer alması.</w:t>
            </w:r>
          </w:p>
        </w:tc>
      </w:tr>
      <w:tr w:rsidR="00F672DF" w:rsidRPr="00C52F15" w:rsidTr="00D9668F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672DF" w:rsidRPr="00C52F15" w:rsidRDefault="00F672DF" w:rsidP="00D9668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72DF" w:rsidRPr="00C52F15" w:rsidTr="00D9668F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672DF" w:rsidRPr="00C52F15" w:rsidRDefault="00F672DF" w:rsidP="00D9668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F672DF" w:rsidRPr="00C52F15" w:rsidRDefault="00F672DF" w:rsidP="00D9668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672DF" w:rsidRPr="00C52F15" w:rsidRDefault="00F672DF" w:rsidP="00D9668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72DF" w:rsidRPr="00C52F15" w:rsidTr="00D9668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F672DF" w:rsidRPr="00C52F15" w:rsidRDefault="00F672DF" w:rsidP="00D9668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F672DF" w:rsidRPr="00C52F15" w:rsidRDefault="00F672DF" w:rsidP="00D9668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F672DF" w:rsidRPr="00C52F15" w:rsidTr="00D9668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F672DF" w:rsidRPr="00C52F15" w:rsidRDefault="00F672DF" w:rsidP="00D9668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672DF" w:rsidRPr="00C52F15" w:rsidTr="00D9668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F672DF" w:rsidRPr="00C52F15" w:rsidRDefault="00F672DF" w:rsidP="00D9668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72DF" w:rsidRPr="00C52F15" w:rsidTr="00D9668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F672DF" w:rsidRPr="00C52F15" w:rsidRDefault="00F672DF" w:rsidP="00D9668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F672DF" w:rsidRPr="00C52F15" w:rsidTr="00D9668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>Osmaniye Korkut Ata  Üniversitesi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F672DF" w:rsidRPr="00C52F15" w:rsidRDefault="00F672DF" w:rsidP="00D9668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>Riskin farkında olunması, önlem alınması ve takip edilmesi için erken  uyarı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92535" w:rsidRPr="00457C8F" w:rsidRDefault="00892535" w:rsidP="00880917">
      <w:pPr>
        <w:rPr>
          <w:b/>
        </w:rPr>
      </w:pPr>
    </w:p>
    <w:sectPr w:rsidR="00892535" w:rsidRPr="0045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5C" w:rsidRDefault="0021795C" w:rsidP="00880917">
      <w:pPr>
        <w:spacing w:after="0" w:line="240" w:lineRule="auto"/>
      </w:pPr>
      <w:r>
        <w:separator/>
      </w:r>
    </w:p>
  </w:endnote>
  <w:endnote w:type="continuationSeparator" w:id="0">
    <w:p w:rsidR="0021795C" w:rsidRDefault="0021795C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5C" w:rsidRDefault="0021795C" w:rsidP="00880917">
      <w:pPr>
        <w:spacing w:after="0" w:line="240" w:lineRule="auto"/>
      </w:pPr>
      <w:r>
        <w:separator/>
      </w:r>
    </w:p>
  </w:footnote>
  <w:footnote w:type="continuationSeparator" w:id="0">
    <w:p w:rsidR="0021795C" w:rsidRDefault="0021795C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C9C"/>
    <w:multiLevelType w:val="hybridMultilevel"/>
    <w:tmpl w:val="65D63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00262"/>
    <w:rsid w:val="00021AF8"/>
    <w:rsid w:val="00045231"/>
    <w:rsid w:val="000B4223"/>
    <w:rsid w:val="00122EEC"/>
    <w:rsid w:val="0021795C"/>
    <w:rsid w:val="004070A4"/>
    <w:rsid w:val="00457C8F"/>
    <w:rsid w:val="006B6DC3"/>
    <w:rsid w:val="00880917"/>
    <w:rsid w:val="00892535"/>
    <w:rsid w:val="008A24E1"/>
    <w:rsid w:val="008D40AD"/>
    <w:rsid w:val="009001D7"/>
    <w:rsid w:val="00A06095"/>
    <w:rsid w:val="00A12A37"/>
    <w:rsid w:val="00BC4BED"/>
    <w:rsid w:val="00BD75A5"/>
    <w:rsid w:val="00CF204B"/>
    <w:rsid w:val="00D13235"/>
    <w:rsid w:val="00DC06D4"/>
    <w:rsid w:val="00E54D80"/>
    <w:rsid w:val="00EF3EDD"/>
    <w:rsid w:val="00F24A90"/>
    <w:rsid w:val="00F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2019-10-09T05:46:00Z</dcterms:created>
  <dcterms:modified xsi:type="dcterms:W3CDTF">2019-10-14T06:23:00Z</dcterms:modified>
</cp:coreProperties>
</file>