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2D54F6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76A82">
              <w:t>İLHS 317 Hadis Metinleri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2D54F6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2D54F6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D54F6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hint="cs"/>
                <w:color w:val="000000"/>
                <w:sz w:val="22"/>
                <w:szCs w:val="22"/>
                <w:rtl/>
              </w:rPr>
              <w:t>3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. Yıl /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4F6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D54F6" w:rsidRPr="007D451A" w:rsidRDefault="002D54F6" w:rsidP="002D54F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4F6" w:rsidRPr="007D451A" w:rsidRDefault="002D54F6" w:rsidP="002D54F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4F6" w:rsidRPr="007D451A" w:rsidRDefault="002D54F6" w:rsidP="002D54F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4F6" w:rsidRPr="007D451A" w:rsidRDefault="002D54F6" w:rsidP="002D54F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4F6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D54F6" w:rsidRPr="007D451A" w:rsidRDefault="002D54F6" w:rsidP="002D54F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4F6" w:rsidRPr="007D451A" w:rsidRDefault="002D54F6" w:rsidP="002D54F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Temel İslam </w:t>
            </w:r>
            <w:r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4F6" w:rsidRPr="007D451A" w:rsidRDefault="002D54F6" w:rsidP="002D54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4F6" w:rsidRPr="007D451A" w:rsidRDefault="002D54F6" w:rsidP="002D54F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D54F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D54F6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2D54F6">
        <w:trPr>
          <w:trHeight w:val="55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2D54F6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Temel hadis kaynaklarından sünen türü eserleri tanımak ve örnek olarak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Nesai´nin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Sünen´inden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bazı bölümlerinin okunmak ve yorumlanmak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Kitâbü´t-Tahâret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: Ağız ve diş temizliği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Kitâbü´t-Tahâret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: Abdest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şartları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ve adabı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Kitâbü´t-Tahâret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: Boy abdesti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Kitâbü´t-Tahâret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: Suların temizliğiyle ilgili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Kitâbü´t-Tahâret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: Teyemmüm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 xml:space="preserve">-Salat: </w:t>
            </w: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Mescidlerle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 xml:space="preserve"> ilgili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-Salat: Kıble ilgili hadisler</w:t>
            </w:r>
          </w:p>
        </w:tc>
      </w:tr>
      <w:tr w:rsidR="00277B6A" w:rsidRPr="007D451A" w:rsidTr="002D54F6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clear" w:color="auto" w:fill="FFFFFF" w:themeFill="background1"/>
          </w:tcPr>
          <w:p w:rsidR="00277B6A" w:rsidRPr="002D54F6" w:rsidRDefault="002D54F6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-Salat: Ezanla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D54F6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-Salat: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</w:rPr>
              <w:t>Namaz vakitleri ile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E396A" w:rsidRPr="002D54F6" w:rsidRDefault="002D54F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-Salat: Namazların kısaltılması ve cemi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clear" w:color="auto" w:fill="FFFFFF" w:themeFill="background1"/>
          </w:tcPr>
          <w:p w:rsidR="008E396A" w:rsidRPr="002D54F6" w:rsidRDefault="002D54F6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-Salat: İmamet ile ilgili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clear" w:color="auto" w:fill="FFFFFF" w:themeFill="background1"/>
          </w:tcPr>
          <w:p w:rsidR="008E396A" w:rsidRPr="002D54F6" w:rsidRDefault="002D54F6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-Salat: Namazda ellerin kaldırılması ile ilgili hadisler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clear" w:color="auto" w:fill="FFFFFF" w:themeFill="background1"/>
          </w:tcPr>
          <w:p w:rsidR="008E396A" w:rsidRPr="002D54F6" w:rsidRDefault="002D54F6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-Salat: Cuma ile ilgili</w:t>
            </w:r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 xml:space="preserve"> </w:t>
            </w:r>
            <w:bookmarkStart w:id="0" w:name="_GoBack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 w:themeFill="background1"/>
              </w:rPr>
              <w:t>hadisle</w:t>
            </w:r>
            <w:bookmarkEnd w:id="0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CCFFCC"/>
              </w:rPr>
              <w:t>r</w:t>
            </w:r>
          </w:p>
        </w:tc>
      </w:tr>
      <w:tr w:rsidR="008E396A" w:rsidRPr="007D451A" w:rsidTr="002D54F6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clear" w:color="auto" w:fill="FFFFFF" w:themeFill="background1"/>
          </w:tcPr>
          <w:p w:rsidR="008E396A" w:rsidRPr="002D54F6" w:rsidRDefault="002D54F6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Kitabü´s</w:t>
            </w:r>
            <w:proofErr w:type="spellEnd"/>
            <w:r w:rsidRPr="002D54F6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-Salat: Bayram namazı ile ilgili hadisler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D54F6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TDV (sünnet, sünen,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Nesai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D54F6" w:rsidP="00EF7E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Nesai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, Sünen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D54F6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İsmail Lütfi Çakan, Hadis Edebiyatı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D54F6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8B019"/>
  <w15:docId w15:val="{2D5ADF35-87FF-4AD6-B39A-6349A31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 Hamidullah Yalçın</cp:lastModifiedBy>
  <cp:revision>2</cp:revision>
  <dcterms:created xsi:type="dcterms:W3CDTF">2017-07-11T08:19:00Z</dcterms:created>
  <dcterms:modified xsi:type="dcterms:W3CDTF">2017-07-11T08:19:00Z</dcterms:modified>
</cp:coreProperties>
</file>