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BE1569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BE1569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BE1569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BE1569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BE1569" w:rsidRDefault="003B51BA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İLZ 306</w:t>
            </w:r>
            <w:r w:rsidR="00347A00" w:rsidRPr="00BE1569">
              <w:rPr>
                <w:rFonts w:ascii="Cambria" w:hAnsi="Cambria"/>
                <w:bCs/>
                <w:sz w:val="22"/>
                <w:szCs w:val="22"/>
              </w:rPr>
              <w:t xml:space="preserve"> Sistematik Kelam II</w:t>
            </w:r>
          </w:p>
        </w:tc>
      </w:tr>
      <w:tr w:rsidR="00277B6A" w:rsidRPr="00BE1569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BE1569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BE1569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BE1569" w:rsidRDefault="00102605" w:rsidP="00347A0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2+0/</w:t>
            </w:r>
            <w:bookmarkStart w:id="0" w:name="_GoBack"/>
            <w:bookmarkEnd w:id="0"/>
            <w:r w:rsidR="00347A00" w:rsidRPr="00BE1569">
              <w:rPr>
                <w:rFonts w:ascii="Cambria" w:hAnsi="Cambria"/>
                <w:sz w:val="22"/>
                <w:szCs w:val="22"/>
              </w:rPr>
              <w:t>2</w:t>
            </w:r>
            <w:r w:rsidR="00347A00" w:rsidRPr="00BE1569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BE1569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BE1569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BE1569" w:rsidRDefault="00347A00" w:rsidP="00E07476">
            <w:pPr>
              <w:rPr>
                <w:rFonts w:ascii="Cambria" w:hAnsi="Cambria"/>
                <w:sz w:val="22"/>
                <w:szCs w:val="22"/>
              </w:rPr>
            </w:pPr>
            <w:r w:rsidRPr="00BE1569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BE1569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BE1569" w:rsidRDefault="00347A00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3. Yıl Bahar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BE1569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BE1569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BE1569" w:rsidRDefault="00055D30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BE1569" w:rsidRDefault="00347A00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BE1569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BE1569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BE1569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BE1569" w:rsidRDefault="00347A00" w:rsidP="00E07476">
            <w:pPr>
              <w:rPr>
                <w:rFonts w:ascii="Cambria" w:hAnsi="Cambria"/>
                <w:sz w:val="22"/>
                <w:szCs w:val="22"/>
              </w:rPr>
            </w:pPr>
            <w:r w:rsidRPr="00BE1569">
              <w:rPr>
                <w:rFonts w:ascii="Cambria" w:hAnsi="Cambria"/>
                <w:sz w:val="22"/>
                <w:szCs w:val="22"/>
              </w:rPr>
              <w:t>Temel İslam 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BE1569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BE1569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BE1569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BE1569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BE1569" w:rsidRDefault="00347A00">
            <w:pPr>
              <w:rPr>
                <w:rFonts w:ascii="Cambria" w:hAnsi="Cambria"/>
                <w:sz w:val="22"/>
                <w:szCs w:val="22"/>
              </w:rPr>
            </w:pPr>
            <w:r w:rsidRPr="00BE1569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BE1569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BE1569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BE1569" w:rsidRDefault="00347A00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BE1569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BE1569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BE1569" w:rsidRDefault="009E3609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 xml:space="preserve">Peygamberlerin gönderiliş amacını anlamak, onların vasıflarını tanımak, masum olup olmadıklarını bilmek, evrensel mesajlarını kavramak, ilk yaratılış ve canlı organizmanın oluşumu konusundaki nazariyeleri anlamak ve bunları </w:t>
            </w:r>
            <w:proofErr w:type="spellStart"/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kritize</w:t>
            </w:r>
            <w:proofErr w:type="spellEnd"/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 xml:space="preserve"> etmek, ahiretin gerekliliği ve Kur´an ve hadisler çerçevesinde metafizik alemin özelliklerini bilmek, yeniden dirilişin imkanını ortaya koymak,</w:t>
            </w:r>
          </w:p>
        </w:tc>
      </w:tr>
    </w:tbl>
    <w:p w:rsidR="00277B6A" w:rsidRPr="00BE1569" w:rsidRDefault="00277B6A">
      <w:pPr>
        <w:rPr>
          <w:rFonts w:ascii="Cambria" w:hAnsi="Cambria"/>
          <w:sz w:val="22"/>
          <w:szCs w:val="22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BE1569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BE1569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 w:rsidRPr="00BE1569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BE1569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BE1569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BE1569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E1569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E1569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BE1569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E1569" w:rsidRDefault="007E3F2F" w:rsidP="00BE156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Nübüvvet </w:t>
            </w:r>
            <w:r w:rsidR="00C24E58">
              <w:rPr>
                <w:rFonts w:ascii="Cambria" w:hAnsi="Cambria"/>
                <w:sz w:val="22"/>
                <w:szCs w:val="22"/>
              </w:rPr>
              <w:t>M</w:t>
            </w:r>
            <w:r>
              <w:rPr>
                <w:rFonts w:ascii="Cambria" w:hAnsi="Cambria"/>
                <w:sz w:val="22"/>
                <w:szCs w:val="22"/>
              </w:rPr>
              <w:t>üessesesi, Gerekliliği ve Tarihi Gerçekliliği</w:t>
            </w:r>
          </w:p>
        </w:tc>
      </w:tr>
      <w:tr w:rsidR="008E396A" w:rsidRPr="00BE1569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E1569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E1569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E1569" w:rsidRDefault="007E3F2F" w:rsidP="007E3F2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Nübüvvetle İlgili Bazı Kavram ve Konular</w:t>
            </w:r>
          </w:p>
        </w:tc>
      </w:tr>
      <w:tr w:rsidR="008E396A" w:rsidRPr="00BE1569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E1569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E1569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E1569" w:rsidRDefault="007E3F2F" w:rsidP="007E3F2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Peygamberlerin Görev ve Sorumlulukları Ortak Özellikleri</w:t>
            </w:r>
            <w:r w:rsidR="005E221B">
              <w:rPr>
                <w:rFonts w:ascii="Cambria" w:hAnsi="Cambria"/>
                <w:sz w:val="22"/>
                <w:szCs w:val="22"/>
              </w:rPr>
              <w:t>, Meleklerden Üstünlüğü, Sayıları ve Vahiyler</w:t>
            </w:r>
          </w:p>
        </w:tc>
      </w:tr>
      <w:tr w:rsidR="008E396A" w:rsidRPr="00BE1569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E1569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E1569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E1569" w:rsidRDefault="005E221B" w:rsidP="00BE15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E3F2F">
              <w:rPr>
                <w:rFonts w:ascii="Cambria" w:hAnsi="Cambria"/>
                <w:sz w:val="22"/>
                <w:szCs w:val="22"/>
              </w:rPr>
              <w:t>Mu´cize</w:t>
            </w:r>
            <w:proofErr w:type="spellEnd"/>
            <w:r w:rsidRPr="007E3F2F">
              <w:rPr>
                <w:rFonts w:ascii="Cambria" w:hAnsi="Cambria"/>
                <w:sz w:val="22"/>
                <w:szCs w:val="22"/>
              </w:rPr>
              <w:t xml:space="preserve"> Kavramı ve Çeşitleri</w:t>
            </w:r>
          </w:p>
        </w:tc>
      </w:tr>
      <w:tr w:rsidR="008E396A" w:rsidRPr="00BE1569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E1569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E1569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7"/>
            </w:tblGrid>
            <w:tr w:rsidR="005127A7" w:rsidRPr="00BE1569" w:rsidTr="005127A7">
              <w:trPr>
                <w:tblCellSpacing w:w="15" w:type="dxa"/>
              </w:trPr>
              <w:tc>
                <w:tcPr>
                  <w:tcW w:w="8336" w:type="dxa"/>
                  <w:shd w:val="clear" w:color="auto" w:fill="FFFFFF"/>
                  <w:vAlign w:val="center"/>
                  <w:hideMark/>
                </w:tcPr>
                <w:p w:rsidR="005127A7" w:rsidRPr="00BE1569" w:rsidRDefault="005E221B" w:rsidP="00BE1569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Nübüvvetin </w:t>
                  </w:r>
                  <w:r w:rsidR="00C24E58">
                    <w:rPr>
                      <w:rFonts w:ascii="Cambria" w:hAnsi="Cambria"/>
                      <w:sz w:val="22"/>
                      <w:szCs w:val="22"/>
                    </w:rPr>
                    <w:t>S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ona </w:t>
                  </w:r>
                  <w:r w:rsidR="00C24E58">
                    <w:rPr>
                      <w:rFonts w:ascii="Cambria" w:hAnsi="Cambria"/>
                      <w:sz w:val="22"/>
                      <w:szCs w:val="22"/>
                    </w:rPr>
                    <w:t>E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rmesi ve </w:t>
                  </w:r>
                  <w:proofErr w:type="spellStart"/>
                  <w:r>
                    <w:rPr>
                      <w:rFonts w:ascii="Cambria" w:hAnsi="Cambria"/>
                      <w:sz w:val="22"/>
                      <w:szCs w:val="22"/>
                    </w:rPr>
                    <w:t>Hatm</w:t>
                  </w:r>
                  <w:proofErr w:type="spellEnd"/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-i Nübüvvet ile </w:t>
                  </w:r>
                  <w:r w:rsidR="00C24E58">
                    <w:rPr>
                      <w:rFonts w:ascii="Cambria" w:hAnsi="Cambria"/>
                      <w:sz w:val="22"/>
                      <w:szCs w:val="22"/>
                    </w:rPr>
                    <w:t>İ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lgili </w:t>
                  </w:r>
                  <w:r w:rsidR="00C24E58">
                    <w:rPr>
                      <w:rFonts w:ascii="Cambria" w:hAnsi="Cambria"/>
                      <w:sz w:val="22"/>
                      <w:szCs w:val="22"/>
                    </w:rPr>
                    <w:t>T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eoriler</w:t>
                  </w:r>
                </w:p>
              </w:tc>
            </w:tr>
          </w:tbl>
          <w:p w:rsidR="008E396A" w:rsidRPr="00BE1569" w:rsidRDefault="008E396A" w:rsidP="00BE15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E396A" w:rsidRPr="00BE1569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E1569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E1569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E1569" w:rsidRDefault="005E221B" w:rsidP="005E221B">
            <w:pPr>
              <w:rPr>
                <w:rFonts w:ascii="Cambria" w:hAnsi="Cambria"/>
                <w:sz w:val="22"/>
                <w:szCs w:val="22"/>
              </w:rPr>
            </w:pPr>
            <w:r w:rsidRPr="005E221B">
              <w:rPr>
                <w:rFonts w:ascii="Cambria" w:hAnsi="Cambria"/>
                <w:sz w:val="22"/>
                <w:szCs w:val="22"/>
              </w:rPr>
              <w:t>Peygamberlikle Bağlantılı Bazı Konular</w:t>
            </w:r>
          </w:p>
        </w:tc>
      </w:tr>
      <w:tr w:rsidR="005E221B" w:rsidRPr="00BE1569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5E221B" w:rsidRPr="00BE1569" w:rsidRDefault="005E221B" w:rsidP="005E22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E221B" w:rsidRPr="00BE1569" w:rsidRDefault="005E221B" w:rsidP="005E22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5E221B" w:rsidRPr="00BE1569" w:rsidRDefault="00DB701A" w:rsidP="005E221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Peygamberlik ve </w:t>
            </w:r>
            <w:r w:rsidR="005E221B">
              <w:rPr>
                <w:rFonts w:ascii="Cambria" w:hAnsi="Cambria"/>
                <w:sz w:val="22"/>
                <w:szCs w:val="22"/>
              </w:rPr>
              <w:t>Kutsal Kitaplara Duyulan İhtiyaç</w:t>
            </w:r>
          </w:p>
        </w:tc>
      </w:tr>
      <w:tr w:rsidR="00DB701A" w:rsidRPr="00BE1569" w:rsidTr="00D871B5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  <w:vAlign w:val="center"/>
          </w:tcPr>
          <w:p w:rsidR="00DB701A" w:rsidRPr="00BE1569" w:rsidRDefault="00DB701A" w:rsidP="00DB701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Kur’an-ı Kerim’in Özellikleri, Muhtevası ve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Korunmuşluğu</w:t>
            </w:r>
            <w:proofErr w:type="spellEnd"/>
          </w:p>
        </w:tc>
      </w:tr>
      <w:tr w:rsidR="00DB701A" w:rsidRPr="00BE1569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DB701A" w:rsidRPr="00F8302B" w:rsidRDefault="00DB701A" w:rsidP="00DB701A">
            <w:pPr>
              <w:rPr>
                <w:rFonts w:ascii="Cambria" w:hAnsi="Cambria"/>
                <w:b/>
                <w:sz w:val="22"/>
                <w:szCs w:val="22"/>
              </w:rPr>
            </w:pPr>
            <w:r w:rsidRPr="00F8302B">
              <w:rPr>
                <w:rFonts w:ascii="Cambria" w:hAnsi="Cambria"/>
                <w:b/>
                <w:sz w:val="22"/>
                <w:szCs w:val="22"/>
              </w:rPr>
              <w:t>Ara Sınav</w:t>
            </w:r>
          </w:p>
        </w:tc>
      </w:tr>
      <w:tr w:rsidR="00DB701A" w:rsidRPr="00BE1569" w:rsidTr="00B15B8E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</w:tcPr>
          <w:p w:rsidR="00DB701A" w:rsidRPr="00BE1569" w:rsidRDefault="00DB701A" w:rsidP="00DB701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Mehdilik </w:t>
            </w:r>
            <w:r w:rsidR="00C24E58">
              <w:rPr>
                <w:rFonts w:ascii="Cambria" w:hAnsi="Cambria"/>
                <w:sz w:val="22"/>
                <w:szCs w:val="22"/>
              </w:rPr>
              <w:t>B</w:t>
            </w:r>
            <w:r>
              <w:rPr>
                <w:rFonts w:ascii="Cambria" w:hAnsi="Cambria"/>
                <w:sz w:val="22"/>
                <w:szCs w:val="22"/>
              </w:rPr>
              <w:t xml:space="preserve">eklentisi ve İslam </w:t>
            </w:r>
            <w:r w:rsidR="00C24E58">
              <w:rPr>
                <w:rFonts w:ascii="Cambria" w:hAnsi="Cambria"/>
                <w:sz w:val="22"/>
                <w:szCs w:val="22"/>
              </w:rPr>
              <w:t>İ</w:t>
            </w:r>
            <w:r>
              <w:rPr>
                <w:rFonts w:ascii="Cambria" w:hAnsi="Cambria"/>
                <w:sz w:val="22"/>
                <w:szCs w:val="22"/>
              </w:rPr>
              <w:t xml:space="preserve">nançları </w:t>
            </w:r>
            <w:r w:rsidR="00C24E58">
              <w:rPr>
                <w:rFonts w:ascii="Cambria" w:hAnsi="Cambria"/>
                <w:sz w:val="22"/>
                <w:szCs w:val="22"/>
              </w:rPr>
              <w:t>A</w:t>
            </w:r>
            <w:r>
              <w:rPr>
                <w:rFonts w:ascii="Cambria" w:hAnsi="Cambria"/>
                <w:sz w:val="22"/>
                <w:szCs w:val="22"/>
              </w:rPr>
              <w:t xml:space="preserve">çısından </w:t>
            </w:r>
            <w:r w:rsidR="00C24E58"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>leştirisi</w:t>
            </w:r>
          </w:p>
        </w:tc>
      </w:tr>
      <w:tr w:rsidR="00DB701A" w:rsidRPr="00BE1569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DB701A" w:rsidRPr="00BE1569" w:rsidRDefault="00DB701A" w:rsidP="00DB701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Ölüm ve </w:t>
            </w:r>
            <w:r w:rsidR="00C24E58">
              <w:rPr>
                <w:rFonts w:ascii="Cambria" w:hAnsi="Cambria"/>
                <w:sz w:val="22"/>
                <w:szCs w:val="22"/>
              </w:rPr>
              <w:t>K</w:t>
            </w:r>
            <w:r>
              <w:rPr>
                <w:rFonts w:ascii="Cambria" w:hAnsi="Cambria"/>
                <w:sz w:val="22"/>
                <w:szCs w:val="22"/>
              </w:rPr>
              <w:t xml:space="preserve">abir </w:t>
            </w:r>
            <w:r w:rsidR="00C24E58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 xml:space="preserve">ayatı ile </w:t>
            </w:r>
            <w:r w:rsidR="00C24E58">
              <w:rPr>
                <w:rFonts w:ascii="Cambria" w:hAnsi="Cambria"/>
                <w:sz w:val="22"/>
                <w:szCs w:val="22"/>
              </w:rPr>
              <w:t>İ</w:t>
            </w:r>
            <w:r>
              <w:rPr>
                <w:rFonts w:ascii="Cambria" w:hAnsi="Cambria"/>
                <w:sz w:val="22"/>
                <w:szCs w:val="22"/>
              </w:rPr>
              <w:t xml:space="preserve">lgili </w:t>
            </w:r>
            <w:r w:rsidR="00C24E58">
              <w:rPr>
                <w:rFonts w:ascii="Cambria" w:hAnsi="Cambria"/>
                <w:sz w:val="22"/>
                <w:szCs w:val="22"/>
              </w:rPr>
              <w:t>T</w:t>
            </w:r>
            <w:r>
              <w:rPr>
                <w:rFonts w:ascii="Cambria" w:hAnsi="Cambria"/>
                <w:sz w:val="22"/>
                <w:szCs w:val="22"/>
              </w:rPr>
              <w:t>artışmalar</w:t>
            </w:r>
          </w:p>
        </w:tc>
      </w:tr>
      <w:tr w:rsidR="00DB701A" w:rsidRPr="00BE1569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DB701A" w:rsidRPr="00BE1569" w:rsidRDefault="00DB701A" w:rsidP="00DB701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Kıyamet, </w:t>
            </w:r>
            <w:r w:rsidR="00C24E58">
              <w:rPr>
                <w:rFonts w:ascii="Cambria" w:hAnsi="Cambria"/>
                <w:sz w:val="22"/>
                <w:szCs w:val="22"/>
              </w:rPr>
              <w:t>M</w:t>
            </w:r>
            <w:r>
              <w:rPr>
                <w:rFonts w:ascii="Cambria" w:hAnsi="Cambria"/>
                <w:sz w:val="22"/>
                <w:szCs w:val="22"/>
              </w:rPr>
              <w:t xml:space="preserve">ahiyeti ve </w:t>
            </w:r>
            <w:r w:rsidR="00C24E58">
              <w:rPr>
                <w:rFonts w:ascii="Cambria" w:hAnsi="Cambria"/>
                <w:sz w:val="22"/>
                <w:szCs w:val="22"/>
              </w:rPr>
              <w:t>A</w:t>
            </w:r>
            <w:r>
              <w:rPr>
                <w:rFonts w:ascii="Cambria" w:hAnsi="Cambria"/>
                <w:sz w:val="22"/>
                <w:szCs w:val="22"/>
              </w:rPr>
              <w:t>lametleri</w:t>
            </w:r>
          </w:p>
        </w:tc>
      </w:tr>
      <w:tr w:rsidR="00DB701A" w:rsidRPr="00BE1569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DB701A" w:rsidRPr="00BE1569" w:rsidRDefault="00DB701A" w:rsidP="00DB701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Ahiret </w:t>
            </w:r>
            <w:r w:rsidR="00C24E58">
              <w:rPr>
                <w:rFonts w:ascii="Cambria" w:hAnsi="Cambria"/>
                <w:sz w:val="22"/>
                <w:szCs w:val="22"/>
              </w:rPr>
              <w:t>K</w:t>
            </w:r>
            <w:r>
              <w:rPr>
                <w:rFonts w:ascii="Cambria" w:hAnsi="Cambria"/>
                <w:sz w:val="22"/>
                <w:szCs w:val="22"/>
              </w:rPr>
              <w:t xml:space="preserve">avramı ve </w:t>
            </w:r>
            <w:r w:rsidR="00C24E58">
              <w:rPr>
                <w:rFonts w:ascii="Cambria" w:hAnsi="Cambria"/>
                <w:sz w:val="22"/>
                <w:szCs w:val="22"/>
              </w:rPr>
              <w:t>V</w:t>
            </w:r>
            <w:r>
              <w:rPr>
                <w:rFonts w:ascii="Cambria" w:hAnsi="Cambria"/>
                <w:sz w:val="22"/>
                <w:szCs w:val="22"/>
              </w:rPr>
              <w:t xml:space="preserve">arlığının </w:t>
            </w:r>
            <w:r w:rsidR="00C24E58">
              <w:rPr>
                <w:rFonts w:ascii="Cambria" w:hAnsi="Cambria"/>
                <w:sz w:val="22"/>
                <w:szCs w:val="22"/>
              </w:rPr>
              <w:t>D</w:t>
            </w:r>
            <w:r>
              <w:rPr>
                <w:rFonts w:ascii="Cambria" w:hAnsi="Cambria"/>
                <w:sz w:val="22"/>
                <w:szCs w:val="22"/>
              </w:rPr>
              <w:t>elilleri</w:t>
            </w:r>
          </w:p>
        </w:tc>
      </w:tr>
      <w:tr w:rsidR="00DB701A" w:rsidRPr="00BE1569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DB701A" w:rsidRPr="00BE1569" w:rsidRDefault="00DB701A" w:rsidP="00DB701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Şefaat </w:t>
            </w:r>
            <w:r w:rsidR="00C24E58">
              <w:rPr>
                <w:rFonts w:ascii="Cambria" w:hAnsi="Cambria"/>
                <w:sz w:val="22"/>
                <w:szCs w:val="22"/>
              </w:rPr>
              <w:t>K</w:t>
            </w:r>
            <w:r>
              <w:rPr>
                <w:rFonts w:ascii="Cambria" w:hAnsi="Cambria"/>
                <w:sz w:val="22"/>
                <w:szCs w:val="22"/>
              </w:rPr>
              <w:t xml:space="preserve">avramı ve Kelam </w:t>
            </w:r>
            <w:r w:rsidR="00C24E58"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kollerine </w:t>
            </w:r>
            <w:r w:rsidR="00C24E58">
              <w:rPr>
                <w:rFonts w:ascii="Cambria" w:hAnsi="Cambria"/>
                <w:sz w:val="22"/>
                <w:szCs w:val="22"/>
              </w:rPr>
              <w:t>G</w:t>
            </w:r>
            <w:r>
              <w:rPr>
                <w:rFonts w:ascii="Cambria" w:hAnsi="Cambria"/>
                <w:sz w:val="22"/>
                <w:szCs w:val="22"/>
              </w:rPr>
              <w:t>öre Şefaat</w:t>
            </w:r>
          </w:p>
        </w:tc>
      </w:tr>
      <w:tr w:rsidR="00DB701A" w:rsidRPr="00BE1569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DB701A" w:rsidRPr="00BE1569" w:rsidRDefault="00DB701A" w:rsidP="00DB701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Cennet, </w:t>
            </w:r>
            <w:r w:rsidR="00C24E58">
              <w:rPr>
                <w:rFonts w:ascii="Cambria" w:hAnsi="Cambria"/>
                <w:sz w:val="22"/>
                <w:szCs w:val="22"/>
              </w:rPr>
              <w:t>C</w:t>
            </w:r>
            <w:r>
              <w:rPr>
                <w:rFonts w:ascii="Cambria" w:hAnsi="Cambria"/>
                <w:sz w:val="22"/>
                <w:szCs w:val="22"/>
              </w:rPr>
              <w:t xml:space="preserve">ehennem </w:t>
            </w:r>
            <w:r w:rsidR="00C24E58">
              <w:rPr>
                <w:rFonts w:ascii="Cambria" w:hAnsi="Cambria"/>
                <w:sz w:val="22"/>
                <w:szCs w:val="22"/>
              </w:rPr>
              <w:t>M</w:t>
            </w:r>
            <w:r>
              <w:rPr>
                <w:rFonts w:ascii="Cambria" w:hAnsi="Cambria"/>
                <w:sz w:val="22"/>
                <w:szCs w:val="22"/>
              </w:rPr>
              <w:t xml:space="preserve">evcudiyeti, </w:t>
            </w:r>
            <w:r w:rsidR="00C24E58"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bediliği ve </w:t>
            </w:r>
            <w:proofErr w:type="spellStart"/>
            <w:r w:rsidR="00C24E58">
              <w:rPr>
                <w:rFonts w:ascii="Cambria" w:hAnsi="Cambria"/>
                <w:sz w:val="22"/>
                <w:szCs w:val="22"/>
              </w:rPr>
              <w:t>R</w:t>
            </w:r>
            <w:r>
              <w:rPr>
                <w:rFonts w:ascii="Cambria" w:hAnsi="Cambria"/>
                <w:sz w:val="22"/>
                <w:szCs w:val="22"/>
              </w:rPr>
              <w:t>uyetullah</w:t>
            </w:r>
            <w:proofErr w:type="spellEnd"/>
          </w:p>
        </w:tc>
      </w:tr>
      <w:tr w:rsidR="00DB701A" w:rsidRPr="00BE1569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DB701A" w:rsidRPr="00BE1569" w:rsidRDefault="00DB701A" w:rsidP="00C24E5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8778C5">
              <w:rPr>
                <w:rFonts w:ascii="Cambria" w:hAnsi="Cambria"/>
                <w:sz w:val="22"/>
                <w:szCs w:val="22"/>
              </w:rPr>
              <w:t>Kelam IV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  <w:r w:rsidR="008778C5">
              <w:rPr>
                <w:rFonts w:ascii="Cambria" w:hAnsi="Cambria"/>
                <w:sz w:val="22"/>
                <w:szCs w:val="22"/>
              </w:rPr>
              <w:t xml:space="preserve"> (Editör: İsmail Şık, Nail Karagöz)</w:t>
            </w:r>
            <w:r>
              <w:rPr>
                <w:rFonts w:ascii="Cambria" w:hAnsi="Cambria"/>
                <w:sz w:val="22"/>
                <w:szCs w:val="22"/>
              </w:rPr>
              <w:t xml:space="preserve"> Altınordu Yay.</w:t>
            </w:r>
            <w:r w:rsidRPr="00BA6FFC"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 xml:space="preserve">Ankara </w:t>
            </w:r>
            <w:r w:rsidRPr="00BA6FFC">
              <w:rPr>
                <w:rFonts w:ascii="Cambria" w:hAnsi="Cambria"/>
                <w:sz w:val="22"/>
                <w:szCs w:val="22"/>
              </w:rPr>
              <w:t>201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</w:tr>
      <w:tr w:rsidR="00DB701A" w:rsidRPr="00BE1569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DB701A" w:rsidRPr="00BE1569" w:rsidRDefault="00DB701A" w:rsidP="00DB701A">
            <w:pPr>
              <w:rPr>
                <w:rFonts w:ascii="Cambria" w:hAnsi="Cambria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Kelam El Kitabı,</w:t>
            </w:r>
            <w:r w:rsidR="008778C5" w:rsidRPr="00BE1569">
              <w:rPr>
                <w:rFonts w:ascii="Cambria" w:hAnsi="Cambria"/>
                <w:color w:val="000000"/>
                <w:sz w:val="22"/>
                <w:szCs w:val="22"/>
              </w:rPr>
              <w:t xml:space="preserve"> (Komisyon), </w:t>
            </w: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 xml:space="preserve"> (Editör: Şaban Ali Düzgün), Grafiker Yay</w:t>
            </w:r>
            <w:proofErr w:type="gramStart"/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.,</w:t>
            </w:r>
            <w:proofErr w:type="gramEnd"/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 xml:space="preserve"> Ankara 2012</w:t>
            </w:r>
          </w:p>
        </w:tc>
      </w:tr>
      <w:tr w:rsidR="00DB701A" w:rsidRPr="00BE1569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DB701A" w:rsidRPr="00BE1569" w:rsidRDefault="00DB701A" w:rsidP="00DB701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Şerafettin Gölcük-Süleyman Toprak, Kelam, Selçuk Üniversitesi Yay., Konya 1988</w:t>
            </w:r>
          </w:p>
        </w:tc>
      </w:tr>
      <w:tr w:rsidR="00DB701A" w:rsidRPr="00BE1569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DB701A" w:rsidRPr="00BE1569" w:rsidRDefault="00C24E58" w:rsidP="00DB701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Emrullah Yüksel, Sistematik Kelam, İz Yay</w:t>
            </w:r>
            <w:proofErr w:type="gramStart"/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.,</w:t>
            </w:r>
            <w:proofErr w:type="spellStart"/>
            <w:proofErr w:type="gramEnd"/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İst</w:t>
            </w:r>
            <w:proofErr w:type="spellEnd"/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. 2005</w:t>
            </w:r>
          </w:p>
        </w:tc>
      </w:tr>
      <w:tr w:rsidR="00DB701A" w:rsidRPr="00BE1569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DB701A" w:rsidRPr="00BE1569" w:rsidRDefault="00DB701A" w:rsidP="00DB701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E1569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DB701A" w:rsidRPr="00BE1569" w:rsidRDefault="00DB701A" w:rsidP="00DB701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143D2" w:rsidRPr="00BE1569" w:rsidRDefault="00A143D2">
      <w:pPr>
        <w:rPr>
          <w:rFonts w:ascii="Cambria" w:hAnsi="Cambria"/>
          <w:sz w:val="22"/>
          <w:szCs w:val="22"/>
        </w:rPr>
      </w:pPr>
    </w:p>
    <w:sectPr w:rsidR="00A143D2" w:rsidRPr="00BE1569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271FA"/>
    <w:rsid w:val="00052B5B"/>
    <w:rsid w:val="000545E5"/>
    <w:rsid w:val="00055D30"/>
    <w:rsid w:val="000727D9"/>
    <w:rsid w:val="000747D4"/>
    <w:rsid w:val="00075D0C"/>
    <w:rsid w:val="000D426D"/>
    <w:rsid w:val="000F3DF7"/>
    <w:rsid w:val="00102605"/>
    <w:rsid w:val="00107EEB"/>
    <w:rsid w:val="00112431"/>
    <w:rsid w:val="0012596B"/>
    <w:rsid w:val="00146F34"/>
    <w:rsid w:val="0018492E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347A00"/>
    <w:rsid w:val="003B51BA"/>
    <w:rsid w:val="003D2E50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127A7"/>
    <w:rsid w:val="005304CA"/>
    <w:rsid w:val="00545A34"/>
    <w:rsid w:val="005D3648"/>
    <w:rsid w:val="005E221B"/>
    <w:rsid w:val="005E3DD4"/>
    <w:rsid w:val="005F6403"/>
    <w:rsid w:val="00616BC1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6E0C16"/>
    <w:rsid w:val="00704A04"/>
    <w:rsid w:val="00747DDF"/>
    <w:rsid w:val="007662F5"/>
    <w:rsid w:val="00772660"/>
    <w:rsid w:val="0079288E"/>
    <w:rsid w:val="007B44D5"/>
    <w:rsid w:val="007D451A"/>
    <w:rsid w:val="007E3F2F"/>
    <w:rsid w:val="008778C5"/>
    <w:rsid w:val="008873FD"/>
    <w:rsid w:val="00893D04"/>
    <w:rsid w:val="008D299F"/>
    <w:rsid w:val="008D5A84"/>
    <w:rsid w:val="008E396A"/>
    <w:rsid w:val="008E490D"/>
    <w:rsid w:val="00900468"/>
    <w:rsid w:val="00901244"/>
    <w:rsid w:val="00912D7B"/>
    <w:rsid w:val="00915ED3"/>
    <w:rsid w:val="00917BD1"/>
    <w:rsid w:val="00933D4B"/>
    <w:rsid w:val="009858A9"/>
    <w:rsid w:val="00985F65"/>
    <w:rsid w:val="00995A21"/>
    <w:rsid w:val="0099779D"/>
    <w:rsid w:val="00997B87"/>
    <w:rsid w:val="009A7B25"/>
    <w:rsid w:val="009B2064"/>
    <w:rsid w:val="009E3609"/>
    <w:rsid w:val="009E742D"/>
    <w:rsid w:val="00A143D2"/>
    <w:rsid w:val="00A400ED"/>
    <w:rsid w:val="00AA480C"/>
    <w:rsid w:val="00AC3606"/>
    <w:rsid w:val="00AC4392"/>
    <w:rsid w:val="00B1257F"/>
    <w:rsid w:val="00B30551"/>
    <w:rsid w:val="00B75FF1"/>
    <w:rsid w:val="00B800B6"/>
    <w:rsid w:val="00B8179D"/>
    <w:rsid w:val="00B92778"/>
    <w:rsid w:val="00BA6FFC"/>
    <w:rsid w:val="00BA7267"/>
    <w:rsid w:val="00BB0ACA"/>
    <w:rsid w:val="00BB70F1"/>
    <w:rsid w:val="00BD752D"/>
    <w:rsid w:val="00BE1569"/>
    <w:rsid w:val="00BE25F5"/>
    <w:rsid w:val="00C23D3D"/>
    <w:rsid w:val="00C24E58"/>
    <w:rsid w:val="00C27663"/>
    <w:rsid w:val="00C46840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35AB7"/>
    <w:rsid w:val="00D451A2"/>
    <w:rsid w:val="00D8447C"/>
    <w:rsid w:val="00DB701A"/>
    <w:rsid w:val="00DF2F1B"/>
    <w:rsid w:val="00E07476"/>
    <w:rsid w:val="00E20F42"/>
    <w:rsid w:val="00E26A3F"/>
    <w:rsid w:val="00E76A78"/>
    <w:rsid w:val="00E922C1"/>
    <w:rsid w:val="00EA2100"/>
    <w:rsid w:val="00F12FB6"/>
    <w:rsid w:val="00F57078"/>
    <w:rsid w:val="00F75F6E"/>
    <w:rsid w:val="00F8302B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ilahiyat1</dc:creator>
  <cp:lastModifiedBy>DELL</cp:lastModifiedBy>
  <cp:revision>4</cp:revision>
  <dcterms:created xsi:type="dcterms:W3CDTF">2020-06-26T10:21:00Z</dcterms:created>
  <dcterms:modified xsi:type="dcterms:W3CDTF">2020-06-26T10:44:00Z</dcterms:modified>
</cp:coreProperties>
</file>