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B7644F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B7644F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B7644F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B7644F" w:rsidRDefault="001C43C9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İLS 302 </w:t>
            </w:r>
            <w:r w:rsidR="00767A83" w:rsidRPr="00B7644F">
              <w:rPr>
                <w:rFonts w:ascii="Cambria" w:hAnsi="Cambria"/>
                <w:bCs/>
                <w:sz w:val="22"/>
                <w:szCs w:val="22"/>
              </w:rPr>
              <w:t>Türk Kelamcıları</w:t>
            </w:r>
          </w:p>
        </w:tc>
      </w:tr>
      <w:tr w:rsidR="00277B6A" w:rsidRPr="00B7644F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B7644F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B7644F" w:rsidRDefault="00767A83" w:rsidP="005F6403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B7644F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B7644F" w:rsidRDefault="00767A83" w:rsidP="00E0747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B7644F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B7644F" w:rsidRDefault="00767A83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3. Yıl/ Bahar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7644F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7644F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B7644F" w:rsidRDefault="00767A83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7644F" w:rsidRDefault="00767A83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7644F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B7644F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7644F" w:rsidRDefault="00767A83" w:rsidP="00E0747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7644F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7644F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B7644F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B7644F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B7644F" w:rsidRDefault="00767A83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B7644F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B7644F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B7644F" w:rsidRDefault="00767A83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7644F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B7644F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B7644F" w:rsidRDefault="00767A83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 xml:space="preserve">Türklerin İslam’a katkıları hakkında temel bilgileri vermek, Türk-İslam medeniyet ve kültüründe ortaya çıkmış ve </w:t>
            </w:r>
            <w:proofErr w:type="spellStart"/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Maturidî</w:t>
            </w:r>
            <w:proofErr w:type="spellEnd"/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Eş’arî</w:t>
            </w:r>
            <w:proofErr w:type="spellEnd"/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 xml:space="preserve"> gelenekte yetişmiş ünlü Türk kelâm âlimlerinin hayatı ve </w:t>
            </w:r>
            <w:proofErr w:type="spellStart"/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Kelâmi</w:t>
            </w:r>
            <w:proofErr w:type="spellEnd"/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 xml:space="preserve"> görüşlerini ve Kelam ilmine katkılarını öğrenmek,</w:t>
            </w:r>
            <w:r w:rsidR="00CC4866" w:rsidRPr="00B7644F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Türk kelamcılarının katkılarını İslam düşüncesi bağlamında analiz etmek</w:t>
            </w:r>
          </w:p>
        </w:tc>
      </w:tr>
    </w:tbl>
    <w:p w:rsidR="00277B6A" w:rsidRPr="00B7644F" w:rsidRDefault="00277B6A">
      <w:pPr>
        <w:rPr>
          <w:rFonts w:ascii="Cambria" w:hAnsi="Cambria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B7644F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B7644F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 w:rsidRPr="00B7644F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Mâtüridî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mezhebi ve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türk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kelamcılarının mezheplere göre dağılımı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 xml:space="preserve">Ebu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Mansûr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el-</w:t>
            </w:r>
            <w:proofErr w:type="spellStart"/>
            <w:proofErr w:type="gramStart"/>
            <w:r w:rsidRPr="00B7644F">
              <w:rPr>
                <w:rFonts w:ascii="Cambria" w:hAnsi="Cambria"/>
                <w:sz w:val="22"/>
                <w:szCs w:val="22"/>
              </w:rPr>
              <w:t>mâturîdî,hayatı</w:t>
            </w:r>
            <w:proofErr w:type="spellEnd"/>
            <w:proofErr w:type="gramEnd"/>
            <w:r w:rsidRPr="00B7644F">
              <w:rPr>
                <w:rFonts w:ascii="Cambria" w:hAnsi="Cambria"/>
                <w:sz w:val="22"/>
                <w:szCs w:val="22"/>
              </w:rPr>
              <w:t>, eserleri ve kelâm ilmindeki yeri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B7644F">
              <w:rPr>
                <w:rFonts w:ascii="Cambria" w:hAnsi="Cambria"/>
                <w:sz w:val="22"/>
                <w:szCs w:val="22"/>
              </w:rPr>
              <w:t>Hakim</w:t>
            </w:r>
            <w:proofErr w:type="gramEnd"/>
            <w:r w:rsidRPr="00B7644F">
              <w:rPr>
                <w:rFonts w:ascii="Cambria" w:hAnsi="Cambria"/>
                <w:sz w:val="22"/>
                <w:szCs w:val="22"/>
              </w:rPr>
              <w:t xml:space="preserve"> es-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Semerkandî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ve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Ebu´l-Yusr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el-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Pezdevi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hayatı, eserleri ve kelâm ilmindeki yerleri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Ebu´l-Yusr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el-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Pezdevi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hayatı, eserleri ve kelâm ilmindeki yeri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>Ömer en-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nesefî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sirâcud-dîn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el-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Uşî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hayatı, eserleri ve kelâm ilmindeki yerleri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Şemsuddin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Muhammed es-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Semerkandî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ebu´l-Berekât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en-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Nesefî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hayatı, eserleri ve kelâm ilmindeki yerleri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Sadruşşerîa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es-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sânî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(el-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asğar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),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Ekmeluddin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el-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Bâbertî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hayatı, eserleri ve kelâm ilmindeki yerleri</w:t>
            </w:r>
          </w:p>
        </w:tc>
      </w:tr>
      <w:tr w:rsidR="00277B6A" w:rsidRPr="00B7644F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B7644F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B7644F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Hayâlî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Ahmed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Efendi,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Muhyiddin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Mehmed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efendi (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kâfiyeci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), Hocazâde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Muslihuddin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Mustafa hayatı, eserleri ve kelâm ilmindeki yerleri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7644F" w:rsidRDefault="008E396A" w:rsidP="00CC486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>Ara Sınav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 xml:space="preserve">Kestelli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Muslihuddin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Mustafa,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İbn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Kemâl Paşa,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Taşköprülüzâde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Ahmed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Efendi hayatı, eserleri ve kelâm ilmindeki yerleri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Taşköprülüzâde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Ahmed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Efendi hayatı, eserleri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Tve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kelâm ilmindeki yerleri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Dâvûd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el-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Karsî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Akkirmânî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Mehmed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Efendi hayatı eserleri ve kelâm ilmindeki yerleri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Gelenbevî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İsmail Efendi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hayatI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>, eserleri ve kelâm ilmindeki yerleri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 xml:space="preserve">İzmirli İsmail Hakkı ve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Abdullatif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el-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Harputi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hayatI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>, eserleri ve kelâm ilmindeki yerleri</w:t>
            </w:r>
          </w:p>
        </w:tc>
      </w:tr>
      <w:tr w:rsidR="008E396A" w:rsidRPr="00B7644F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B7644F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r w:rsidRPr="00B7644F">
              <w:rPr>
                <w:rFonts w:ascii="Cambria" w:hAnsi="Cambria"/>
                <w:sz w:val="22"/>
                <w:szCs w:val="22"/>
              </w:rPr>
              <w:t xml:space="preserve">Osmanlı sonrası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türk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kelamcıları: M.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Şerafeddin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Yaltkaya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, Mustafa Sabri Efendi, Ömer Nasuhi Bilmen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hayatI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>, eserleri ve kelâm ilmindeki yerleri</w:t>
            </w:r>
          </w:p>
        </w:tc>
      </w:tr>
      <w:tr w:rsidR="002162F8" w:rsidRPr="00B7644F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B7644F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B7644F" w:rsidRDefault="00CC4866" w:rsidP="00CC486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Şerafeddin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Gölcük, Kelam Tarihi</w:t>
            </w:r>
            <w:r w:rsidR="00B7644F" w:rsidRPr="00B7644F">
              <w:rPr>
                <w:rFonts w:ascii="Cambria" w:hAnsi="Cambria"/>
                <w:sz w:val="22"/>
                <w:szCs w:val="22"/>
              </w:rPr>
              <w:t>.</w:t>
            </w:r>
            <w:r w:rsidRPr="00B7644F">
              <w:rPr>
                <w:rFonts w:ascii="Cambria" w:hAnsi="Cambria"/>
                <w:sz w:val="22"/>
                <w:szCs w:val="22"/>
              </w:rPr>
              <w:t xml:space="preserve"> İmam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Maturdi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, Kitabı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Tevhid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Nesefi</w:t>
            </w:r>
            <w:proofErr w:type="spellEnd"/>
            <w:r w:rsidRPr="00B7644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7644F">
              <w:rPr>
                <w:rFonts w:ascii="Cambria" w:hAnsi="Cambria"/>
                <w:sz w:val="22"/>
                <w:szCs w:val="22"/>
              </w:rPr>
              <w:t>Tabsıratu´l-Edille</w:t>
            </w:r>
            <w:proofErr w:type="spellEnd"/>
          </w:p>
        </w:tc>
      </w:tr>
      <w:tr w:rsidR="002162F8" w:rsidRPr="00B7644F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B7644F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B7644F" w:rsidRDefault="002162F8" w:rsidP="00EF7E6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162F8" w:rsidRPr="00B7644F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B7644F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B7644F" w:rsidRDefault="002162F8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2F8" w:rsidRPr="00B7644F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B7644F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B7644F" w:rsidRDefault="002162F8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B7644F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B7644F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B7644F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B7644F" w:rsidRDefault="00277B6A" w:rsidP="002B5065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Pr="00B7644F" w:rsidRDefault="00A143D2">
      <w:pPr>
        <w:rPr>
          <w:rFonts w:ascii="Cambria" w:hAnsi="Cambria"/>
          <w:sz w:val="22"/>
          <w:szCs w:val="22"/>
        </w:rPr>
      </w:pPr>
    </w:p>
    <w:sectPr w:rsidR="00A143D2" w:rsidRPr="00B7644F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C43C9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B5065"/>
    <w:rsid w:val="002D349B"/>
    <w:rsid w:val="002D49E9"/>
    <w:rsid w:val="002E3281"/>
    <w:rsid w:val="00302454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67A83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7644F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C4866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DELL</cp:lastModifiedBy>
  <cp:revision>4</cp:revision>
  <dcterms:created xsi:type="dcterms:W3CDTF">2020-06-26T10:27:00Z</dcterms:created>
  <dcterms:modified xsi:type="dcterms:W3CDTF">2020-06-26T10:29:00Z</dcterms:modified>
</cp:coreProperties>
</file>