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3969"/>
        <w:gridCol w:w="3260"/>
      </w:tblGrid>
      <w:tr w:rsidR="009F68BA" w:rsidTr="0064228A">
        <w:trPr>
          <w:trHeight w:hRule="exact" w:val="1012"/>
        </w:trPr>
        <w:tc>
          <w:tcPr>
            <w:tcW w:w="12616" w:type="dxa"/>
            <w:gridSpan w:val="4"/>
          </w:tcPr>
          <w:p w:rsidR="009F68BA" w:rsidRDefault="009F68BA" w:rsidP="0064228A">
            <w:pPr>
              <w:pStyle w:val="TableParagraph"/>
              <w:spacing w:before="150"/>
              <w:ind w:lef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</w:t>
            </w:r>
            <w:r w:rsidR="0064228A">
              <w:rPr>
                <w:b/>
                <w:sz w:val="24"/>
              </w:rPr>
              <w:t xml:space="preserve">DÖNER SERMAYE İŞLETME MÜDÜRLÜĞÜ </w:t>
            </w:r>
            <w:r>
              <w:rPr>
                <w:b/>
                <w:sz w:val="24"/>
              </w:rPr>
              <w:t>RİSK FAALİYET DEĞERLENDİRME TABLOSU</w:t>
            </w:r>
          </w:p>
        </w:tc>
        <w:bookmarkStart w:id="0" w:name="_GoBack"/>
        <w:bookmarkEnd w:id="0"/>
      </w:tr>
      <w:tr w:rsidR="009F68BA" w:rsidTr="00CD697C">
        <w:trPr>
          <w:trHeight w:hRule="exact" w:val="876"/>
        </w:trPr>
        <w:tc>
          <w:tcPr>
            <w:tcW w:w="4253" w:type="dxa"/>
          </w:tcPr>
          <w:p w:rsidR="009F68BA" w:rsidRDefault="009F68BA" w:rsidP="00530E4B">
            <w:pPr>
              <w:pStyle w:val="TableParagraph"/>
              <w:spacing w:before="155" w:line="274" w:lineRule="exact"/>
              <w:ind w:left="1338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9F68BA" w:rsidRDefault="009F68BA" w:rsidP="00530E4B">
            <w:pPr>
              <w:pStyle w:val="TableParagraph"/>
              <w:spacing w:line="274" w:lineRule="exact"/>
              <w:ind w:left="1338" w:right="13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9F68BA" w:rsidRDefault="009F68BA" w:rsidP="00530E4B">
            <w:pPr>
              <w:pStyle w:val="TableParagraph"/>
              <w:spacing w:before="16"/>
              <w:ind w:left="124" w:right="12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969" w:type="dxa"/>
          </w:tcPr>
          <w:p w:rsidR="009F68BA" w:rsidRDefault="009F68BA" w:rsidP="00530E4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68BA" w:rsidRDefault="009F68BA" w:rsidP="00530E4B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260" w:type="dxa"/>
          </w:tcPr>
          <w:p w:rsidR="009F68BA" w:rsidRDefault="009F68BA" w:rsidP="00530E4B">
            <w:pPr>
              <w:pStyle w:val="TableParagraph"/>
              <w:spacing w:before="155"/>
              <w:ind w:left="1070" w:right="176" w:hanging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Yapılanlar</w:t>
            </w:r>
            <w:proofErr w:type="spellEnd"/>
          </w:p>
        </w:tc>
      </w:tr>
      <w:tr w:rsidR="009F68BA" w:rsidTr="00392414">
        <w:trPr>
          <w:trHeight w:hRule="exact" w:val="1103"/>
        </w:trPr>
        <w:tc>
          <w:tcPr>
            <w:tcW w:w="4253" w:type="dxa"/>
          </w:tcPr>
          <w:p w:rsidR="009F68BA" w:rsidRDefault="002F246B" w:rsidP="002F246B">
            <w:r>
              <w:t xml:space="preserve">1- </w:t>
            </w:r>
            <w:proofErr w:type="spellStart"/>
            <w:r>
              <w:t>Yaklaşık</w:t>
            </w:r>
            <w:proofErr w:type="spellEnd"/>
            <w:r>
              <w:t xml:space="preserve"> </w:t>
            </w:r>
            <w:proofErr w:type="spellStart"/>
            <w:r>
              <w:t>Maliyetin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F68BA" w:rsidRDefault="002F246B" w:rsidP="00530E4B">
            <w:proofErr w:type="spellStart"/>
            <w:r>
              <w:t>Yüksek</w:t>
            </w:r>
            <w:proofErr w:type="spellEnd"/>
          </w:p>
        </w:tc>
        <w:tc>
          <w:tcPr>
            <w:tcW w:w="3969" w:type="dxa"/>
          </w:tcPr>
          <w:p w:rsidR="009F68BA" w:rsidRDefault="00CB7B60" w:rsidP="002F246B">
            <w:pPr>
              <w:jc w:val="both"/>
            </w:pPr>
            <w:proofErr w:type="spellStart"/>
            <w:r>
              <w:rPr>
                <w:sz w:val="24"/>
                <w:szCs w:val="24"/>
                <w:lang w:eastAsia="tr-TR"/>
              </w:rPr>
              <w:t>Yaklaşık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maliyet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komisyonu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</w:t>
            </w:r>
            <w:r w:rsidRPr="008C1666">
              <w:rPr>
                <w:sz w:val="24"/>
                <w:szCs w:val="24"/>
                <w:lang w:eastAsia="tr-TR"/>
              </w:rPr>
              <w:t>lgili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satın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alma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görevlisi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tarafından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yaklaşık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maliyetin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gözden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1666">
              <w:rPr>
                <w:sz w:val="24"/>
                <w:szCs w:val="24"/>
                <w:lang w:eastAsia="tr-TR"/>
              </w:rPr>
              <w:t>geçirilmesi</w:t>
            </w:r>
            <w:proofErr w:type="spellEnd"/>
            <w:r w:rsidRPr="008C1666"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260" w:type="dxa"/>
          </w:tcPr>
          <w:p w:rsidR="009F68BA" w:rsidRDefault="000278EC" w:rsidP="000278EC">
            <w:pPr>
              <w:jc w:val="center"/>
            </w:pPr>
            <w:proofErr w:type="spellStart"/>
            <w:r>
              <w:rPr>
                <w:sz w:val="24"/>
                <w:szCs w:val="24"/>
                <w:lang w:eastAsia="tr-TR"/>
              </w:rPr>
              <w:t>Yaklaşık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maliyet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komisyonu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</w:t>
            </w:r>
            <w:r w:rsidR="002F246B" w:rsidRPr="008C1666">
              <w:rPr>
                <w:sz w:val="24"/>
                <w:szCs w:val="24"/>
                <w:lang w:eastAsia="tr-TR"/>
              </w:rPr>
              <w:t>lgili</w:t>
            </w:r>
            <w:proofErr w:type="spellEnd"/>
            <w:r w:rsidR="002F246B"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 w:rsidRPr="008C1666">
              <w:rPr>
                <w:sz w:val="24"/>
                <w:szCs w:val="24"/>
                <w:lang w:eastAsia="tr-TR"/>
              </w:rPr>
              <w:t>satın</w:t>
            </w:r>
            <w:proofErr w:type="spellEnd"/>
            <w:r w:rsidR="002F246B" w:rsidRPr="008C1666">
              <w:rPr>
                <w:sz w:val="24"/>
                <w:szCs w:val="24"/>
                <w:lang w:eastAsia="tr-TR"/>
              </w:rPr>
              <w:t xml:space="preserve"> alma </w:t>
            </w:r>
            <w:proofErr w:type="spellStart"/>
            <w:r w:rsidR="002F246B" w:rsidRPr="008C1666">
              <w:rPr>
                <w:sz w:val="24"/>
                <w:szCs w:val="24"/>
                <w:lang w:eastAsia="tr-TR"/>
              </w:rPr>
              <w:t>görevlisi</w:t>
            </w:r>
            <w:proofErr w:type="spellEnd"/>
            <w:r w:rsidR="002F246B" w:rsidRPr="008C1666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 w:rsidRPr="008C1666">
              <w:rPr>
                <w:sz w:val="24"/>
                <w:szCs w:val="24"/>
                <w:lang w:eastAsia="tr-TR"/>
              </w:rPr>
              <w:t>tarafından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>
              <w:rPr>
                <w:sz w:val="24"/>
                <w:szCs w:val="24"/>
                <w:lang w:eastAsia="tr-TR"/>
              </w:rPr>
              <w:t>yaklaşık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>
              <w:rPr>
                <w:sz w:val="24"/>
                <w:szCs w:val="24"/>
                <w:lang w:eastAsia="tr-TR"/>
              </w:rPr>
              <w:t>Maliyet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>
              <w:rPr>
                <w:sz w:val="24"/>
                <w:szCs w:val="24"/>
                <w:lang w:eastAsia="tr-TR"/>
              </w:rPr>
              <w:t>gözden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F246B" w:rsidRPr="00392414">
              <w:rPr>
                <w:sz w:val="24"/>
                <w:szCs w:val="24"/>
                <w:lang w:eastAsia="tr-TR"/>
              </w:rPr>
              <w:t>geçirilmiştir</w:t>
            </w:r>
            <w:proofErr w:type="spellEnd"/>
            <w:r w:rsidR="002F246B">
              <w:rPr>
                <w:sz w:val="24"/>
                <w:szCs w:val="24"/>
                <w:lang w:eastAsia="tr-TR"/>
              </w:rPr>
              <w:t>.</w:t>
            </w:r>
          </w:p>
        </w:tc>
      </w:tr>
      <w:tr w:rsidR="009F68BA" w:rsidTr="00CD697C">
        <w:trPr>
          <w:trHeight w:hRule="exact" w:val="790"/>
        </w:trPr>
        <w:tc>
          <w:tcPr>
            <w:tcW w:w="4253" w:type="dxa"/>
          </w:tcPr>
          <w:p w:rsidR="009F68BA" w:rsidRDefault="002F246B" w:rsidP="00530E4B">
            <w:r>
              <w:t>2-</w:t>
            </w:r>
            <w:r w:rsidRPr="0017054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Muayene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Kabul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Komisyonunun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mal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veya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hizmeti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yeterince</w:t>
            </w:r>
            <w:proofErr w:type="spellEnd"/>
            <w:r w:rsidRPr="0017054E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54E">
              <w:rPr>
                <w:sz w:val="24"/>
                <w:szCs w:val="24"/>
                <w:lang w:eastAsia="tr-TR"/>
              </w:rPr>
              <w:t>incelememe</w:t>
            </w:r>
            <w:r>
              <w:rPr>
                <w:sz w:val="24"/>
                <w:szCs w:val="24"/>
                <w:lang w:eastAsia="tr-TR"/>
              </w:rPr>
              <w:t>si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</w:tcPr>
          <w:p w:rsidR="009F68BA" w:rsidRDefault="002F246B" w:rsidP="00530E4B">
            <w:proofErr w:type="spellStart"/>
            <w:r>
              <w:t>Yüksek</w:t>
            </w:r>
            <w:proofErr w:type="spellEnd"/>
          </w:p>
        </w:tc>
        <w:tc>
          <w:tcPr>
            <w:tcW w:w="3969" w:type="dxa"/>
          </w:tcPr>
          <w:p w:rsidR="009F68BA" w:rsidRDefault="00CB7B60" w:rsidP="00530E4B">
            <w:proofErr w:type="spellStart"/>
            <w:r>
              <w:t>Muayene</w:t>
            </w:r>
            <w:proofErr w:type="spellEnd"/>
            <w:r>
              <w:t xml:space="preserve"> Kabul </w:t>
            </w:r>
            <w:proofErr w:type="spellStart"/>
            <w:r>
              <w:t>Komisyonunda</w:t>
            </w:r>
            <w:proofErr w:type="spellEnd"/>
            <w:r>
              <w:t xml:space="preserve"> </w:t>
            </w:r>
            <w:proofErr w:type="spellStart"/>
            <w:r>
              <w:t>alımla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alması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9F68BA" w:rsidRDefault="002F246B" w:rsidP="000278EC">
            <w:proofErr w:type="spellStart"/>
            <w:r>
              <w:t>Muayene</w:t>
            </w:r>
            <w:proofErr w:type="spellEnd"/>
            <w:r>
              <w:t xml:space="preserve"> Kabul </w:t>
            </w:r>
            <w:proofErr w:type="spellStart"/>
            <w:r>
              <w:t>Komisyonunda</w:t>
            </w:r>
            <w:proofErr w:type="spellEnd"/>
            <w:r w:rsidR="000278EC">
              <w:t xml:space="preserve"> </w:t>
            </w:r>
            <w:proofErr w:type="spellStart"/>
            <w:r w:rsidR="000278EC">
              <w:t>alımla</w:t>
            </w:r>
            <w:proofErr w:type="spellEnd"/>
            <w:r w:rsidR="000278EC">
              <w:t xml:space="preserve"> </w:t>
            </w:r>
            <w:proofErr w:type="spellStart"/>
            <w:r w:rsidR="000278EC">
              <w:t>ilgili</w:t>
            </w:r>
            <w:proofErr w:type="spellEnd"/>
            <w:r w:rsidR="000278EC">
              <w:t xml:space="preserve"> </w:t>
            </w:r>
            <w:proofErr w:type="spellStart"/>
            <w:r w:rsidR="000278EC">
              <w:t>bilgisi</w:t>
            </w:r>
            <w:proofErr w:type="spellEnd"/>
            <w:r w:rsidR="000278EC">
              <w:t xml:space="preserve"> </w:t>
            </w:r>
            <w:proofErr w:type="spellStart"/>
            <w:proofErr w:type="gramStart"/>
            <w:r w:rsidR="000278EC">
              <w:t>olan</w:t>
            </w:r>
            <w:proofErr w:type="spellEnd"/>
            <w:r w:rsidR="000278EC">
              <w:t xml:space="preserve"> </w:t>
            </w:r>
            <w:r>
              <w:t xml:space="preserve"> </w:t>
            </w:r>
            <w:proofErr w:type="spellStart"/>
            <w:r>
              <w:t>personel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görevlendirilmiştir</w:t>
            </w:r>
            <w:proofErr w:type="spellEnd"/>
            <w:r>
              <w:t>.</w:t>
            </w:r>
          </w:p>
        </w:tc>
      </w:tr>
      <w:tr w:rsidR="00837AC0" w:rsidTr="00CD697C">
        <w:trPr>
          <w:trHeight w:hRule="exact" w:val="1893"/>
        </w:trPr>
        <w:tc>
          <w:tcPr>
            <w:tcW w:w="4253" w:type="dxa"/>
          </w:tcPr>
          <w:p w:rsidR="00837AC0" w:rsidRDefault="00837AC0" w:rsidP="00530E4B">
            <w:r>
              <w:t>3-</w:t>
            </w:r>
            <w:r w:rsidRPr="00D26E15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57677">
              <w:rPr>
                <w:sz w:val="24"/>
                <w:szCs w:val="24"/>
                <w:lang w:eastAsia="tr-TR"/>
              </w:rPr>
              <w:t>Katkı</w:t>
            </w:r>
            <w:proofErr w:type="spellEnd"/>
            <w:r w:rsidR="00357677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57677">
              <w:rPr>
                <w:sz w:val="24"/>
                <w:szCs w:val="24"/>
                <w:lang w:eastAsia="tr-TR"/>
              </w:rPr>
              <w:t>Payı</w:t>
            </w:r>
            <w:proofErr w:type="spellEnd"/>
            <w:r w:rsidR="00357677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57677">
              <w:rPr>
                <w:sz w:val="24"/>
                <w:szCs w:val="24"/>
                <w:lang w:eastAsia="tr-TR"/>
              </w:rPr>
              <w:t>Ödemelerinin</w:t>
            </w:r>
            <w:proofErr w:type="spellEnd"/>
            <w:r w:rsidR="00357677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57677">
              <w:rPr>
                <w:sz w:val="24"/>
                <w:szCs w:val="24"/>
                <w:lang w:eastAsia="tr-TR"/>
              </w:rPr>
              <w:t>Hatalı</w:t>
            </w:r>
            <w:proofErr w:type="spellEnd"/>
            <w:r w:rsidR="00357677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357677">
              <w:rPr>
                <w:sz w:val="24"/>
                <w:szCs w:val="24"/>
                <w:lang w:eastAsia="tr-TR"/>
              </w:rPr>
              <w:t>yapılması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357677" w:rsidP="002F246B">
            <w:pPr>
              <w:jc w:val="both"/>
            </w:pPr>
            <w:proofErr w:type="spellStart"/>
            <w:r>
              <w:t>Fatura</w:t>
            </w:r>
            <w:proofErr w:type="spellEnd"/>
            <w:r>
              <w:t xml:space="preserve"> </w:t>
            </w:r>
            <w:proofErr w:type="spellStart"/>
            <w:r>
              <w:t>tutarı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yasal</w:t>
            </w:r>
            <w:proofErr w:type="spellEnd"/>
            <w:r>
              <w:t xml:space="preserve"> </w:t>
            </w:r>
            <w:proofErr w:type="spellStart"/>
            <w:r>
              <w:t>kesintiler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geçirilir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57677" w:rsidRDefault="00357677" w:rsidP="00530E4B">
            <w:proofErr w:type="spellStart"/>
            <w:r>
              <w:t>Sorumlular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k</w:t>
            </w:r>
          </w:p>
          <w:p w:rsidR="00837AC0" w:rsidRDefault="00357677" w:rsidP="00530E4B">
            <w:proofErr w:type="spellStart"/>
            <w:r>
              <w:t>kontroller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hata</w:t>
            </w:r>
            <w:proofErr w:type="spellEnd"/>
            <w:r>
              <w:t xml:space="preserve"> </w:t>
            </w:r>
            <w:proofErr w:type="spellStart"/>
            <w:r>
              <w:t>düzeltilir</w:t>
            </w:r>
            <w:proofErr w:type="spellEnd"/>
            <w:r>
              <w:t>.</w:t>
            </w:r>
          </w:p>
        </w:tc>
      </w:tr>
      <w:tr w:rsidR="00837AC0" w:rsidTr="00CD697C">
        <w:trPr>
          <w:trHeight w:hRule="exact" w:val="1566"/>
        </w:trPr>
        <w:tc>
          <w:tcPr>
            <w:tcW w:w="4253" w:type="dxa"/>
          </w:tcPr>
          <w:p w:rsidR="00837AC0" w:rsidRPr="00AA50BF" w:rsidRDefault="00837AC0" w:rsidP="00C01B39">
            <w:pPr>
              <w:jc w:val="both"/>
              <w:rPr>
                <w:sz w:val="24"/>
                <w:szCs w:val="24"/>
                <w:lang w:eastAsia="tr-TR"/>
              </w:rPr>
            </w:pPr>
            <w:r>
              <w:t>4-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İ</w:t>
            </w:r>
            <w:r w:rsidRPr="00AA50BF">
              <w:rPr>
                <w:sz w:val="24"/>
                <w:szCs w:val="24"/>
                <w:lang w:eastAsia="tr-TR"/>
              </w:rPr>
              <w:t>haleye</w:t>
            </w:r>
            <w:proofErr w:type="spellEnd"/>
            <w:r w:rsidRPr="00AA50BF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sz w:val="24"/>
                <w:szCs w:val="24"/>
                <w:lang w:eastAsia="tr-TR"/>
              </w:rPr>
              <w:t>ait</w:t>
            </w:r>
            <w:proofErr w:type="spellEnd"/>
            <w:r w:rsidRPr="00AA50BF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dökümanların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sz w:val="24"/>
                <w:szCs w:val="24"/>
                <w:lang w:eastAsia="tr-TR"/>
              </w:rPr>
              <w:t>içeriğinde</w:t>
            </w:r>
            <w:proofErr w:type="spellEnd"/>
            <w:r w:rsidRPr="00AA50BF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ilan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bilgilerinde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sz w:val="24"/>
                <w:szCs w:val="24"/>
                <w:lang w:eastAsia="tr-TR"/>
              </w:rPr>
              <w:t>hata</w:t>
            </w:r>
            <w:proofErr w:type="spellEnd"/>
            <w:r w:rsidRPr="00AA50BF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A50BF">
              <w:rPr>
                <w:sz w:val="24"/>
                <w:szCs w:val="24"/>
                <w:lang w:eastAsia="tr-TR"/>
              </w:rPr>
              <w:t>olma</w:t>
            </w:r>
            <w:r>
              <w:rPr>
                <w:sz w:val="24"/>
                <w:szCs w:val="24"/>
                <w:lang w:eastAsia="tr-TR"/>
              </w:rPr>
              <w:t>sı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  <w:p w:rsidR="00837AC0" w:rsidRDefault="00837AC0" w:rsidP="00530E4B"/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E70A20" w:rsidP="002047FC">
            <w:pPr>
              <w:jc w:val="both"/>
            </w:pPr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</w:t>
            </w:r>
            <w:proofErr w:type="spellEnd"/>
            <w:r>
              <w:t xml:space="preserve"> </w:t>
            </w:r>
            <w:proofErr w:type="spellStart"/>
            <w:r w:rsidRPr="00BE7A0D">
              <w:t>hazırlayan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kişinin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gerekli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bilgi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donanımının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sağlanması.İhale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dokümanlarında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bilgilerinin</w:t>
            </w:r>
            <w:proofErr w:type="spellEnd"/>
            <w:r>
              <w:t xml:space="preserve"> </w:t>
            </w:r>
            <w:proofErr w:type="spellStart"/>
            <w:r w:rsidRPr="00BE7A0D">
              <w:t>düzeltilmesi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uygun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görülen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değişiklikler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EKAP’ta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zeyilname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düzenlenerek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düzeltilir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837AC0" w:rsidRDefault="002047FC" w:rsidP="00530E4B"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</w:t>
            </w:r>
            <w:proofErr w:type="spellEnd"/>
            <w:r>
              <w:t xml:space="preserve"> </w:t>
            </w:r>
            <w:proofErr w:type="spellStart"/>
            <w:r w:rsidRPr="00BE7A0D">
              <w:t>hazırlayan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kişinin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gerekli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bilgi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donanımının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sağlanması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gönderilmiştir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Değişiklik</w:t>
            </w:r>
            <w:proofErr w:type="spellEnd"/>
            <w:r>
              <w:t xml:space="preserve">  </w:t>
            </w:r>
            <w:proofErr w:type="spellStart"/>
            <w:r>
              <w:t>görülen</w:t>
            </w:r>
            <w:proofErr w:type="spellEnd"/>
            <w:proofErr w:type="gramEnd"/>
            <w:r>
              <w:t xml:space="preserve"> </w:t>
            </w:r>
            <w:proofErr w:type="spellStart"/>
            <w:r w:rsidR="00837AC0" w:rsidRPr="00BE7A0D">
              <w:t>İhale</w:t>
            </w:r>
            <w:proofErr w:type="spellEnd"/>
            <w:r w:rsidR="00837AC0" w:rsidRPr="00BE7A0D">
              <w:t xml:space="preserve"> </w:t>
            </w:r>
            <w:proofErr w:type="spellStart"/>
            <w:r w:rsidR="00837AC0" w:rsidRPr="00BE7A0D">
              <w:t>dökümanlarını</w:t>
            </w:r>
            <w:r w:rsidR="00837AC0">
              <w:t>n</w:t>
            </w:r>
            <w:proofErr w:type="spellEnd"/>
            <w:r w:rsidR="00837AC0" w:rsidRPr="00BE7A0D">
              <w:t xml:space="preserve"> </w:t>
            </w:r>
            <w:proofErr w:type="spellStart"/>
            <w:r w:rsidR="00837AC0">
              <w:t>ve</w:t>
            </w:r>
            <w:proofErr w:type="spellEnd"/>
            <w:r w:rsidR="00837AC0">
              <w:t xml:space="preserve"> </w:t>
            </w:r>
            <w:proofErr w:type="spellStart"/>
            <w:r w:rsidR="00837AC0">
              <w:t>ilanıların</w:t>
            </w:r>
            <w:proofErr w:type="spellEnd"/>
            <w:r w:rsidR="00837AC0">
              <w:t xml:space="preserve"> </w:t>
            </w:r>
            <w:proofErr w:type="spellStart"/>
            <w:r w:rsidR="00837AC0">
              <w:t>EKAP’ta</w:t>
            </w:r>
            <w:proofErr w:type="spellEnd"/>
            <w:r w:rsidR="00837AC0">
              <w:t xml:space="preserve"> </w:t>
            </w:r>
            <w:proofErr w:type="spellStart"/>
            <w:r w:rsidR="00837AC0">
              <w:t>zeyilname</w:t>
            </w:r>
            <w:proofErr w:type="spellEnd"/>
            <w:r w:rsidR="00837AC0">
              <w:t xml:space="preserve"> </w:t>
            </w:r>
            <w:proofErr w:type="spellStart"/>
            <w:r w:rsidR="00837AC0">
              <w:t>ile</w:t>
            </w:r>
            <w:proofErr w:type="spellEnd"/>
            <w:r w:rsidR="00837AC0">
              <w:t xml:space="preserve"> </w:t>
            </w:r>
            <w:proofErr w:type="spellStart"/>
            <w:r w:rsidR="00837AC0">
              <w:t>düzeltilmesi</w:t>
            </w:r>
            <w:proofErr w:type="spellEnd"/>
            <w:r w:rsidR="00837AC0">
              <w:t>.</w:t>
            </w:r>
          </w:p>
        </w:tc>
      </w:tr>
      <w:tr w:rsidR="00837AC0" w:rsidTr="00CD697C">
        <w:trPr>
          <w:trHeight w:hRule="exact" w:val="979"/>
        </w:trPr>
        <w:tc>
          <w:tcPr>
            <w:tcW w:w="4253" w:type="dxa"/>
          </w:tcPr>
          <w:p w:rsidR="00837AC0" w:rsidRDefault="00837AC0" w:rsidP="00C01B39">
            <w:r>
              <w:t xml:space="preserve">5- </w:t>
            </w: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parasının</w:t>
            </w:r>
            <w:proofErr w:type="spellEnd"/>
            <w:r>
              <w:t xml:space="preserve"> </w:t>
            </w:r>
            <w:proofErr w:type="spellStart"/>
            <w:r>
              <w:t>yatırılmaması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837AC0" w:rsidRDefault="00E70A20" w:rsidP="00530E4B"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İlan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parasının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ilgili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birimce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kanuni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sürede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yatırılıp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yatırılmadığını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takip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ABB">
              <w:rPr>
                <w:rFonts w:eastAsia="Calibri"/>
                <w:sz w:val="24"/>
                <w:szCs w:val="24"/>
                <w:lang w:eastAsia="tr-TR"/>
              </w:rPr>
              <w:t>etmek</w:t>
            </w:r>
            <w:proofErr w:type="spellEnd"/>
            <w:r w:rsidRPr="001E4ABB">
              <w:rPr>
                <w:rFonts w:eastAsia="Calibr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260" w:type="dxa"/>
          </w:tcPr>
          <w:p w:rsidR="00837AC0" w:rsidRDefault="00837AC0" w:rsidP="00C01B39"/>
        </w:tc>
      </w:tr>
      <w:tr w:rsidR="00837AC0" w:rsidTr="00E70A20">
        <w:trPr>
          <w:trHeight w:hRule="exact" w:val="113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837AC0" w:rsidRPr="00C01B39" w:rsidRDefault="00837AC0" w:rsidP="00C01B39">
            <w:pPr>
              <w:jc w:val="both"/>
              <w:rPr>
                <w:sz w:val="24"/>
                <w:szCs w:val="24"/>
              </w:rPr>
            </w:pPr>
            <w:r>
              <w:lastRenderedPageBreak/>
              <w:t>6-</w:t>
            </w:r>
            <w:r w:rsidRPr="00EA20E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İhale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komisyonu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kararında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hata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olma</w:t>
            </w:r>
            <w:r>
              <w:rPr>
                <w:sz w:val="24"/>
                <w:szCs w:val="24"/>
              </w:rPr>
              <w:t>sı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</w:p>
          <w:p w:rsidR="00837AC0" w:rsidRDefault="00837AC0" w:rsidP="00530E4B"/>
        </w:tc>
        <w:tc>
          <w:tcPr>
            <w:tcW w:w="1134" w:type="dxa"/>
            <w:tcBorders>
              <w:bottom w:val="single" w:sz="4" w:space="0" w:color="000000"/>
            </w:tcBorders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37AC0" w:rsidRDefault="00E70A20" w:rsidP="00530E4B">
            <w:proofErr w:type="spellStart"/>
            <w:r>
              <w:t>Komisyonda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hizmetiçi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eğitimlere</w:t>
            </w:r>
            <w:proofErr w:type="spellEnd"/>
            <w:r>
              <w:t xml:space="preserve"> </w:t>
            </w:r>
            <w:proofErr w:type="spellStart"/>
            <w:r>
              <w:t>gönderilmesi</w:t>
            </w:r>
            <w:proofErr w:type="spellEnd"/>
            <w:r>
              <w:t xml:space="preserve">. </w:t>
            </w: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Yetkilisi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kararın</w:t>
            </w:r>
            <w:proofErr w:type="spellEnd"/>
            <w:r>
              <w:t xml:space="preserve"> </w:t>
            </w:r>
            <w:proofErr w:type="spellStart"/>
            <w:r>
              <w:t>onaylamaması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37AC0" w:rsidRDefault="002047FC" w:rsidP="00530E4B">
            <w:proofErr w:type="spellStart"/>
            <w:r>
              <w:t>Komisyonda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gönderilmiştir</w:t>
            </w:r>
            <w:proofErr w:type="spellEnd"/>
            <w:r>
              <w:t>.</w:t>
            </w:r>
          </w:p>
        </w:tc>
      </w:tr>
      <w:tr w:rsidR="00837AC0" w:rsidTr="00CD697C">
        <w:trPr>
          <w:trHeight w:hRule="exact" w:val="2557"/>
        </w:trPr>
        <w:tc>
          <w:tcPr>
            <w:tcW w:w="4253" w:type="dxa"/>
            <w:tcBorders>
              <w:bottom w:val="single" w:sz="4" w:space="0" w:color="000000"/>
            </w:tcBorders>
          </w:tcPr>
          <w:p w:rsidR="00837AC0" w:rsidRDefault="00837AC0" w:rsidP="00C01B39">
            <w:pPr>
              <w:jc w:val="both"/>
              <w:rPr>
                <w:sz w:val="24"/>
                <w:szCs w:val="24"/>
              </w:rPr>
            </w:pPr>
            <w:r>
              <w:t>7-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Sözleşmenin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imzalanmaması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7AC0" w:rsidRDefault="00837AC0" w:rsidP="00530E4B"/>
        </w:tc>
        <w:tc>
          <w:tcPr>
            <w:tcW w:w="1134" w:type="dxa"/>
            <w:tcBorders>
              <w:bottom w:val="single" w:sz="4" w:space="0" w:color="000000"/>
            </w:tcBorders>
          </w:tcPr>
          <w:p w:rsidR="00837AC0" w:rsidRDefault="00837AC0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37AC0" w:rsidRPr="003A6AF9" w:rsidRDefault="00837AC0" w:rsidP="00221F91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edilen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firmanın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belgelerinde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hata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olması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veya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eksik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olması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d</w:t>
            </w:r>
            <w:r w:rsidRPr="003A6AF9">
              <w:rPr>
                <w:sz w:val="24"/>
                <w:szCs w:val="24"/>
              </w:rPr>
              <w:t>urumunda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ilgili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satın</w:t>
            </w:r>
            <w:proofErr w:type="spellEnd"/>
            <w:r w:rsidRPr="003A6AF9">
              <w:rPr>
                <w:sz w:val="24"/>
                <w:szCs w:val="24"/>
              </w:rPr>
              <w:t xml:space="preserve"> alma </w:t>
            </w:r>
            <w:proofErr w:type="spellStart"/>
            <w:r w:rsidRPr="003A6AF9">
              <w:rPr>
                <w:sz w:val="24"/>
                <w:szCs w:val="24"/>
              </w:rPr>
              <w:t>görevlisi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tarafından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="003727DA">
              <w:rPr>
                <w:sz w:val="24"/>
                <w:szCs w:val="24"/>
              </w:rPr>
              <w:t>süresi</w:t>
            </w:r>
            <w:proofErr w:type="spellEnd"/>
            <w:r w:rsidR="003727DA">
              <w:rPr>
                <w:sz w:val="24"/>
                <w:szCs w:val="24"/>
              </w:rPr>
              <w:t xml:space="preserve"> </w:t>
            </w:r>
            <w:proofErr w:type="spellStart"/>
            <w:r w:rsidR="003727DA">
              <w:rPr>
                <w:sz w:val="24"/>
                <w:szCs w:val="24"/>
              </w:rPr>
              <w:t>içinde</w:t>
            </w:r>
            <w:proofErr w:type="spellEnd"/>
            <w:r w:rsidR="003727DA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hatalı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düzelttirilir</w:t>
            </w:r>
            <w:proofErr w:type="spellEnd"/>
            <w:r w:rsidRPr="003A6AF9">
              <w:rPr>
                <w:sz w:val="24"/>
                <w:szCs w:val="24"/>
              </w:rPr>
              <w:t xml:space="preserve">, </w:t>
            </w:r>
            <w:proofErr w:type="spellStart"/>
            <w:r w:rsidRPr="003A6AF9">
              <w:rPr>
                <w:sz w:val="24"/>
                <w:szCs w:val="24"/>
              </w:rPr>
              <w:t>eksik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3A6AF9">
              <w:rPr>
                <w:sz w:val="24"/>
                <w:szCs w:val="24"/>
              </w:rPr>
              <w:t>lan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tamamlattırılır</w:t>
            </w:r>
            <w:proofErr w:type="spellEnd"/>
            <w:r w:rsidRPr="003A6AF9">
              <w:rPr>
                <w:sz w:val="24"/>
                <w:szCs w:val="24"/>
              </w:rPr>
              <w:t xml:space="preserve">. </w:t>
            </w: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gelmeme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durumunda</w:t>
            </w:r>
            <w:proofErr w:type="spellEnd"/>
            <w:r>
              <w:rPr>
                <w:sz w:val="24"/>
                <w:szCs w:val="24"/>
              </w:rPr>
              <w:t xml:space="preserve"> 2.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avantajlıya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3A6AF9">
              <w:rPr>
                <w:sz w:val="24"/>
                <w:szCs w:val="24"/>
              </w:rPr>
              <w:t>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Mektubu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gönderilir</w:t>
            </w:r>
            <w:proofErr w:type="spellEnd"/>
            <w:r w:rsidRPr="003A6AF9">
              <w:rPr>
                <w:sz w:val="24"/>
                <w:szCs w:val="24"/>
              </w:rPr>
              <w:t>.</w:t>
            </w:r>
          </w:p>
          <w:p w:rsidR="00837AC0" w:rsidRDefault="00837AC0" w:rsidP="00221F91">
            <w:pPr>
              <w:ind w:left="-108" w:firstLine="108"/>
              <w:jc w:val="center"/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37AC0" w:rsidRDefault="00837AC0" w:rsidP="00221F91">
            <w:pPr>
              <w:jc w:val="both"/>
            </w:pP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edilen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firmanın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gelmemesi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durumunda</w:t>
            </w:r>
            <w:proofErr w:type="spellEnd"/>
            <w:r>
              <w:rPr>
                <w:sz w:val="24"/>
                <w:szCs w:val="24"/>
              </w:rPr>
              <w:t xml:space="preserve"> 2.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avantajlı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davet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sözleşme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imzalanması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57677" w:rsidTr="00C76A67">
        <w:trPr>
          <w:trHeight w:hRule="exact" w:val="1133"/>
        </w:trPr>
        <w:tc>
          <w:tcPr>
            <w:tcW w:w="4253" w:type="dxa"/>
          </w:tcPr>
          <w:p w:rsidR="00357677" w:rsidRPr="00E937CE" w:rsidRDefault="00357677" w:rsidP="00357677">
            <w:pPr>
              <w:jc w:val="both"/>
              <w:rPr>
                <w:sz w:val="24"/>
                <w:szCs w:val="24"/>
                <w:lang w:eastAsia="tr-TR"/>
              </w:rPr>
            </w:pPr>
            <w:r>
              <w:t>8</w:t>
            </w:r>
            <w:r>
              <w:t>-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Şartnamede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hata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sz w:val="24"/>
                <w:szCs w:val="24"/>
                <w:lang w:eastAsia="tr-TR"/>
              </w:rPr>
              <w:t>.</w:t>
            </w:r>
          </w:p>
          <w:p w:rsidR="00357677" w:rsidRDefault="00357677" w:rsidP="00357677">
            <w:pPr>
              <w:jc w:val="both"/>
            </w:pPr>
          </w:p>
        </w:tc>
        <w:tc>
          <w:tcPr>
            <w:tcW w:w="1134" w:type="dxa"/>
          </w:tcPr>
          <w:p w:rsidR="00357677" w:rsidRDefault="00357677" w:rsidP="00357677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357677" w:rsidRDefault="00357677" w:rsidP="00357677">
            <w:proofErr w:type="spellStart"/>
            <w:r>
              <w:t>Şartnameyi</w:t>
            </w:r>
            <w:proofErr w:type="spellEnd"/>
            <w:r>
              <w:t xml:space="preserve"> </w:t>
            </w:r>
            <w:proofErr w:type="spellStart"/>
            <w:r>
              <w:t>hazırlayan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donanımının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  <w:p w:rsidR="00357677" w:rsidRDefault="00357677" w:rsidP="00357677"/>
        </w:tc>
        <w:tc>
          <w:tcPr>
            <w:tcW w:w="3260" w:type="dxa"/>
          </w:tcPr>
          <w:p w:rsidR="00357677" w:rsidRDefault="00357677" w:rsidP="00357677">
            <w:proofErr w:type="spellStart"/>
            <w:r>
              <w:t>Şartnameyi</w:t>
            </w:r>
            <w:proofErr w:type="spellEnd"/>
            <w:r>
              <w:t xml:space="preserve"> </w:t>
            </w:r>
            <w:proofErr w:type="spellStart"/>
            <w:r>
              <w:t>hazırlayan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mevzuatlar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gönderilmiştir</w:t>
            </w:r>
            <w:proofErr w:type="spellEnd"/>
            <w:r>
              <w:t>.</w:t>
            </w:r>
          </w:p>
          <w:p w:rsidR="00357677" w:rsidRDefault="00357677" w:rsidP="00357677"/>
        </w:tc>
      </w:tr>
      <w:tr w:rsidR="00303E21" w:rsidTr="00934621">
        <w:trPr>
          <w:trHeight w:hRule="exact" w:val="1121"/>
        </w:trPr>
        <w:tc>
          <w:tcPr>
            <w:tcW w:w="4253" w:type="dxa"/>
          </w:tcPr>
          <w:p w:rsidR="00303E21" w:rsidRDefault="00303E21" w:rsidP="00303E21">
            <w:pPr>
              <w:jc w:val="both"/>
            </w:pPr>
            <w:r>
              <w:t>9</w:t>
            </w:r>
            <w:r>
              <w:t xml:space="preserve">- </w:t>
            </w:r>
            <w:proofErr w:type="spellStart"/>
            <w:r>
              <w:t>Yollukların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hesaplanması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303E21" w:rsidRDefault="00303E21" w:rsidP="00303E21">
            <w:proofErr w:type="spellStart"/>
            <w:r w:rsidRPr="005623DC">
              <w:t>Yüksek</w:t>
            </w:r>
            <w:proofErr w:type="spellEnd"/>
          </w:p>
        </w:tc>
        <w:tc>
          <w:tcPr>
            <w:tcW w:w="3969" w:type="dxa"/>
          </w:tcPr>
          <w:p w:rsidR="00303E21" w:rsidRPr="00556688" w:rsidRDefault="00303E21" w:rsidP="00303E21">
            <w:pPr>
              <w:jc w:val="both"/>
              <w:rPr>
                <w:sz w:val="24"/>
                <w:szCs w:val="24"/>
              </w:rPr>
            </w:pPr>
            <w:proofErr w:type="spellStart"/>
            <w:r w:rsidRPr="009D442B">
              <w:t>Yapılacak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yolluk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işlemlerinin</w:t>
            </w:r>
            <w:proofErr w:type="spellEnd"/>
            <w:r w:rsidRPr="009D442B">
              <w:t xml:space="preserve"> 6245 </w:t>
            </w:r>
            <w:proofErr w:type="spellStart"/>
            <w:r w:rsidRPr="009D442B">
              <w:t>sayılı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kanuna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uygunluğu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ve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hesaplamaların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kontrolü</w:t>
            </w:r>
            <w:proofErr w:type="spellEnd"/>
            <w:r w:rsidRPr="009D442B">
              <w:t xml:space="preserve"> </w:t>
            </w:r>
            <w:proofErr w:type="spellStart"/>
            <w:r w:rsidRPr="009D442B">
              <w:t>sağlanır</w:t>
            </w:r>
            <w:proofErr w:type="spellEnd"/>
            <w:r w:rsidRPr="009D442B">
              <w:t xml:space="preserve">. </w:t>
            </w:r>
          </w:p>
        </w:tc>
        <w:tc>
          <w:tcPr>
            <w:tcW w:w="3260" w:type="dxa"/>
          </w:tcPr>
          <w:p w:rsidR="00303E21" w:rsidRDefault="00303E21" w:rsidP="00303E21">
            <w:proofErr w:type="spellStart"/>
            <w:proofErr w:type="gramStart"/>
            <w:r>
              <w:t>Yollukların</w:t>
            </w:r>
            <w:proofErr w:type="spellEnd"/>
            <w:r>
              <w:t xml:space="preserve">  6245</w:t>
            </w:r>
            <w:proofErr w:type="gramEnd"/>
            <w:r>
              <w:t xml:space="preserve">sayılı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yapılmıştır</w:t>
            </w:r>
            <w:proofErr w:type="spellEnd"/>
            <w:r>
              <w:t>.</w:t>
            </w:r>
          </w:p>
        </w:tc>
      </w:tr>
    </w:tbl>
    <w:p w:rsidR="00194DCB" w:rsidRDefault="00194DCB"/>
    <w:sectPr w:rsidR="00194DCB" w:rsidSect="009F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BE"/>
    <w:rsid w:val="0002179E"/>
    <w:rsid w:val="000278EC"/>
    <w:rsid w:val="00194DCB"/>
    <w:rsid w:val="002047FC"/>
    <w:rsid w:val="00221F91"/>
    <w:rsid w:val="002F246B"/>
    <w:rsid w:val="00303E21"/>
    <w:rsid w:val="003043E8"/>
    <w:rsid w:val="00357677"/>
    <w:rsid w:val="003727DA"/>
    <w:rsid w:val="00392414"/>
    <w:rsid w:val="00493E9D"/>
    <w:rsid w:val="004C0F42"/>
    <w:rsid w:val="004C479A"/>
    <w:rsid w:val="0064228A"/>
    <w:rsid w:val="00661C59"/>
    <w:rsid w:val="00837AC0"/>
    <w:rsid w:val="0085496A"/>
    <w:rsid w:val="00876FBE"/>
    <w:rsid w:val="008E638E"/>
    <w:rsid w:val="00934621"/>
    <w:rsid w:val="009F68BA"/>
    <w:rsid w:val="00C01B39"/>
    <w:rsid w:val="00CB7B60"/>
    <w:rsid w:val="00CD697C"/>
    <w:rsid w:val="00E410E2"/>
    <w:rsid w:val="00E70A20"/>
    <w:rsid w:val="00E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34C6"/>
  <w15:docId w15:val="{79BBE438-E8C7-4525-98F5-E6790F1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68B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8BA"/>
  </w:style>
  <w:style w:type="paragraph" w:styleId="BalonMetni">
    <w:name w:val="Balloon Text"/>
    <w:basedOn w:val="Normal"/>
    <w:link w:val="BalonMetniChar"/>
    <w:uiPriority w:val="99"/>
    <w:semiHidden/>
    <w:unhideWhenUsed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7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Süleyman Hilmi Filiz</cp:lastModifiedBy>
  <cp:revision>4</cp:revision>
  <cp:lastPrinted>2018-11-09T12:49:00Z</cp:lastPrinted>
  <dcterms:created xsi:type="dcterms:W3CDTF">2019-12-13T08:05:00Z</dcterms:created>
  <dcterms:modified xsi:type="dcterms:W3CDTF">2019-12-13T08:08:00Z</dcterms:modified>
</cp:coreProperties>
</file>